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0B29D" w14:textId="5BF04CFA" w:rsidR="00726DC0" w:rsidRDefault="00EA3FD3" w:rsidP="00EA3FD3">
      <w:pPr>
        <w:pBdr>
          <w:bottom w:val="single" w:sz="12" w:space="1" w:color="auto"/>
        </w:pBdr>
        <w:jc w:val="center"/>
        <w:rPr>
          <w:smallCaps/>
          <w:szCs w:val="20"/>
        </w:rPr>
      </w:pPr>
      <w:r>
        <w:rPr>
          <w:smallCaps/>
          <w:szCs w:val="20"/>
        </w:rPr>
        <w:t>Affordable Care Act (</w:t>
      </w:r>
      <w:proofErr w:type="spellStart"/>
      <w:r>
        <w:rPr>
          <w:smallCaps/>
          <w:szCs w:val="20"/>
        </w:rPr>
        <w:t>Obamacare</w:t>
      </w:r>
      <w:proofErr w:type="spellEnd"/>
      <w:r>
        <w:rPr>
          <w:smallCaps/>
          <w:szCs w:val="20"/>
        </w:rPr>
        <w:t xml:space="preserve">) and the Size and Scope of the American Government </w:t>
      </w:r>
    </w:p>
    <w:p w14:paraId="6B20F96A" w14:textId="77777777" w:rsidR="00EA3FD3" w:rsidRDefault="00EA3FD3" w:rsidP="00EA3FD3">
      <w:pPr>
        <w:rPr>
          <w:smallCaps/>
          <w:szCs w:val="20"/>
        </w:rPr>
      </w:pPr>
    </w:p>
    <w:p w14:paraId="6B0D432D" w14:textId="77777777" w:rsidR="00EA3FD3" w:rsidRPr="00DD1FA4" w:rsidRDefault="00EA3FD3" w:rsidP="00EA3FD3">
      <w:pPr>
        <w:rPr>
          <w:b/>
          <w:szCs w:val="20"/>
        </w:rPr>
      </w:pPr>
      <w:r w:rsidRPr="00DD1FA4">
        <w:rPr>
          <w:b/>
          <w:szCs w:val="20"/>
        </w:rPr>
        <w:t>Background:</w:t>
      </w:r>
    </w:p>
    <w:p w14:paraId="76D7164C" w14:textId="77777777" w:rsidR="00EA3FD3" w:rsidRDefault="00EA3FD3" w:rsidP="00EA3FD3">
      <w:pPr>
        <w:rPr>
          <w:szCs w:val="20"/>
        </w:rPr>
      </w:pPr>
    </w:p>
    <w:p w14:paraId="347F52AD" w14:textId="1EE2BD40" w:rsidR="00726DC0" w:rsidRDefault="00726DC0" w:rsidP="00EA3FD3">
      <w:pPr>
        <w:rPr>
          <w:szCs w:val="20"/>
        </w:rPr>
      </w:pPr>
      <w:r>
        <w:rPr>
          <w:szCs w:val="20"/>
        </w:rPr>
        <w:t>The Affordable Care Act</w:t>
      </w:r>
      <w:r w:rsidR="00C97F0E">
        <w:rPr>
          <w:szCs w:val="20"/>
        </w:rPr>
        <w:t xml:space="preserve"> (</w:t>
      </w:r>
      <w:proofErr w:type="spellStart"/>
      <w:r w:rsidR="00C97F0E">
        <w:rPr>
          <w:szCs w:val="20"/>
        </w:rPr>
        <w:t>Obamacare</w:t>
      </w:r>
      <w:proofErr w:type="spellEnd"/>
      <w:r w:rsidR="00C97F0E">
        <w:rPr>
          <w:szCs w:val="20"/>
        </w:rPr>
        <w:t xml:space="preserve">) is a </w:t>
      </w:r>
      <w:r>
        <w:rPr>
          <w:szCs w:val="20"/>
        </w:rPr>
        <w:t>federal statute signed into law</w:t>
      </w:r>
      <w:r w:rsidR="00C97F0E">
        <w:rPr>
          <w:szCs w:val="20"/>
        </w:rPr>
        <w:t xml:space="preserve"> by President Obama in March </w:t>
      </w:r>
      <w:r>
        <w:rPr>
          <w:szCs w:val="20"/>
        </w:rPr>
        <w:t xml:space="preserve">2010.  The act is aimed at decreasing the number of Americans without health insurance and reducing the overall costs of health care.  </w:t>
      </w:r>
      <w:r w:rsidR="00111C4F">
        <w:rPr>
          <w:szCs w:val="20"/>
        </w:rPr>
        <w:t xml:space="preserve">It uses a variety of mechanisms to increase the coverage rate including mandates that all people purchase insurance, subsidies to provide insurance </w:t>
      </w:r>
      <w:r w:rsidR="00C97F0E">
        <w:rPr>
          <w:szCs w:val="20"/>
        </w:rPr>
        <w:t xml:space="preserve">to </w:t>
      </w:r>
      <w:r w:rsidR="00111C4F">
        <w:rPr>
          <w:szCs w:val="20"/>
        </w:rPr>
        <w:t>certain q</w:t>
      </w:r>
      <w:r w:rsidR="00C97F0E">
        <w:rPr>
          <w:szCs w:val="20"/>
        </w:rPr>
        <w:t xml:space="preserve">ualifying individuals </w:t>
      </w:r>
      <w:r w:rsidR="00111C4F">
        <w:rPr>
          <w:szCs w:val="20"/>
        </w:rPr>
        <w:t>at little or no cos</w:t>
      </w:r>
      <w:r w:rsidR="00253E35">
        <w:rPr>
          <w:szCs w:val="20"/>
        </w:rPr>
        <w:t xml:space="preserve">t, and taxation </w:t>
      </w:r>
      <w:r w:rsidR="00C97F0E">
        <w:rPr>
          <w:szCs w:val="20"/>
        </w:rPr>
        <w:t>to incentivize</w:t>
      </w:r>
      <w:r w:rsidR="00111C4F">
        <w:rPr>
          <w:szCs w:val="20"/>
        </w:rPr>
        <w:t xml:space="preserve"> businesses and individuals to purchase coverage.  Additional reforms are designed to improve healthcare outcomes and streamline the delivery of health care.  Finally insurance companies are forbidden to deny coverage on the basis</w:t>
      </w:r>
      <w:r w:rsidR="001C5DBD">
        <w:rPr>
          <w:szCs w:val="20"/>
        </w:rPr>
        <w:t xml:space="preserve"> of a pre-existing condition, and</w:t>
      </w:r>
      <w:r w:rsidR="00111C4F">
        <w:rPr>
          <w:szCs w:val="20"/>
        </w:rPr>
        <w:t xml:space="preserve"> to charge men and women differing amounts for the same insurance coverage.</w:t>
      </w:r>
    </w:p>
    <w:p w14:paraId="13939470" w14:textId="77777777" w:rsidR="00111C4F" w:rsidRDefault="00111C4F" w:rsidP="00EA3FD3">
      <w:pPr>
        <w:rPr>
          <w:rFonts w:ascii="Helvetica" w:hAnsi="Helvetica" w:cs="Helvetica"/>
          <w:sz w:val="26"/>
          <w:szCs w:val="26"/>
          <w:lang w:eastAsia="ja-JP"/>
        </w:rPr>
      </w:pPr>
      <w:bookmarkStart w:id="0" w:name="_GoBack"/>
      <w:bookmarkEnd w:id="0"/>
    </w:p>
    <w:p w14:paraId="1FB23B25" w14:textId="77777777" w:rsidR="00EA3FD3" w:rsidRPr="00DD1FA4" w:rsidRDefault="00111C4F" w:rsidP="00EA3FD3">
      <w:pPr>
        <w:rPr>
          <w:b/>
          <w:szCs w:val="20"/>
        </w:rPr>
      </w:pPr>
      <w:r w:rsidRPr="00DD1FA4">
        <w:rPr>
          <w:b/>
          <w:szCs w:val="20"/>
        </w:rPr>
        <w:t>Question to Be Examined</w:t>
      </w:r>
      <w:r w:rsidR="00EA3FD3" w:rsidRPr="00DD1FA4">
        <w:rPr>
          <w:b/>
          <w:szCs w:val="20"/>
        </w:rPr>
        <w:t>:</w:t>
      </w:r>
    </w:p>
    <w:p w14:paraId="1393C599" w14:textId="77777777" w:rsidR="00EA3FD3" w:rsidRDefault="00EA3FD3" w:rsidP="00EA3FD3">
      <w:pPr>
        <w:rPr>
          <w:szCs w:val="20"/>
        </w:rPr>
      </w:pPr>
    </w:p>
    <w:p w14:paraId="2710392E" w14:textId="47489464" w:rsidR="00111C4F" w:rsidRDefault="00111C4F" w:rsidP="00EA3FD3">
      <w:pPr>
        <w:rPr>
          <w:szCs w:val="20"/>
        </w:rPr>
      </w:pPr>
      <w:r>
        <w:rPr>
          <w:szCs w:val="20"/>
        </w:rPr>
        <w:t>We will</w:t>
      </w:r>
      <w:r w:rsidR="00DD1FA4">
        <w:rPr>
          <w:szCs w:val="20"/>
        </w:rPr>
        <w:t xml:space="preserve"> engage in a whole class</w:t>
      </w:r>
      <w:r w:rsidR="001C5DBD">
        <w:rPr>
          <w:szCs w:val="20"/>
        </w:rPr>
        <w:t>,</w:t>
      </w:r>
      <w:r w:rsidR="00DD1FA4">
        <w:rPr>
          <w:szCs w:val="20"/>
        </w:rPr>
        <w:t xml:space="preserve"> grade</w:t>
      </w:r>
      <w:r w:rsidR="001C5DBD">
        <w:rPr>
          <w:szCs w:val="20"/>
        </w:rPr>
        <w:t>d</w:t>
      </w:r>
      <w:r w:rsidR="00DD1FA4">
        <w:rPr>
          <w:szCs w:val="20"/>
        </w:rPr>
        <w:t xml:space="preserve"> </w:t>
      </w:r>
      <w:r>
        <w:rPr>
          <w:szCs w:val="20"/>
        </w:rPr>
        <w:t>discussion, in which we will evaluate the question: Is the Affordable Care Act consistent with or a departure from the purpose/r</w:t>
      </w:r>
      <w:r w:rsidR="00253E35">
        <w:rPr>
          <w:szCs w:val="20"/>
        </w:rPr>
        <w:t>ole of American government</w:t>
      </w:r>
      <w:r>
        <w:rPr>
          <w:szCs w:val="20"/>
        </w:rPr>
        <w:t xml:space="preserve">?   </w:t>
      </w:r>
    </w:p>
    <w:p w14:paraId="346E4ED6" w14:textId="77777777" w:rsidR="00111C4F" w:rsidRDefault="00111C4F" w:rsidP="00EA3FD3">
      <w:pPr>
        <w:rPr>
          <w:szCs w:val="20"/>
        </w:rPr>
      </w:pPr>
    </w:p>
    <w:p w14:paraId="06D33945" w14:textId="77777777" w:rsidR="00EA3FD3" w:rsidRPr="00DD1FA4" w:rsidRDefault="00111C4F" w:rsidP="00EA3FD3">
      <w:pPr>
        <w:rPr>
          <w:b/>
          <w:szCs w:val="20"/>
        </w:rPr>
      </w:pPr>
      <w:r w:rsidRPr="00DD1FA4">
        <w:rPr>
          <w:b/>
          <w:szCs w:val="20"/>
        </w:rPr>
        <w:t>Tasks</w:t>
      </w:r>
      <w:r w:rsidR="00EA3FD3" w:rsidRPr="00DD1FA4">
        <w:rPr>
          <w:b/>
          <w:szCs w:val="20"/>
        </w:rPr>
        <w:t>:</w:t>
      </w:r>
    </w:p>
    <w:p w14:paraId="7048B127" w14:textId="77777777" w:rsidR="00111C4F" w:rsidRDefault="00111C4F" w:rsidP="00EA3FD3">
      <w:pPr>
        <w:rPr>
          <w:szCs w:val="20"/>
        </w:rPr>
      </w:pPr>
    </w:p>
    <w:p w14:paraId="2FC12200" w14:textId="4671A675" w:rsidR="00111C4F" w:rsidRPr="00DD1FA4" w:rsidRDefault="00111C4F" w:rsidP="00DD1FA4">
      <w:pPr>
        <w:pStyle w:val="ListParagraph"/>
        <w:numPr>
          <w:ilvl w:val="0"/>
          <w:numId w:val="6"/>
        </w:numPr>
        <w:rPr>
          <w:i/>
          <w:szCs w:val="20"/>
        </w:rPr>
      </w:pPr>
      <w:r w:rsidRPr="00DD1FA4">
        <w:rPr>
          <w:i/>
          <w:szCs w:val="20"/>
        </w:rPr>
        <w:t>Identify the purpose/role of government (10 points)</w:t>
      </w:r>
    </w:p>
    <w:p w14:paraId="1F422528" w14:textId="06092DB5" w:rsidR="00111C4F" w:rsidRPr="00111C4F" w:rsidRDefault="00111C4F" w:rsidP="00DD1FA4">
      <w:pPr>
        <w:pStyle w:val="ListParagraph"/>
        <w:numPr>
          <w:ilvl w:val="1"/>
          <w:numId w:val="6"/>
        </w:numPr>
        <w:rPr>
          <w:szCs w:val="20"/>
        </w:rPr>
      </w:pPr>
      <w:r>
        <w:rPr>
          <w:szCs w:val="20"/>
        </w:rPr>
        <w:t xml:space="preserve">Write a “thesis statement” in which you make an argument about what the purpose/role of the American government has been from </w:t>
      </w:r>
      <w:r w:rsidR="00253E35">
        <w:rPr>
          <w:szCs w:val="20"/>
        </w:rPr>
        <w:t>the Gilded Age until today</w:t>
      </w:r>
      <w:r w:rsidR="00DD1FA4">
        <w:rPr>
          <w:szCs w:val="20"/>
        </w:rPr>
        <w:t>.</w:t>
      </w:r>
    </w:p>
    <w:p w14:paraId="47982A20" w14:textId="77777777" w:rsidR="00DD1FA4" w:rsidRDefault="00DD1FA4" w:rsidP="00DD1FA4">
      <w:pPr>
        <w:pStyle w:val="ListParagraph"/>
        <w:rPr>
          <w:szCs w:val="20"/>
        </w:rPr>
      </w:pPr>
    </w:p>
    <w:p w14:paraId="3394E91D" w14:textId="292B37B2" w:rsidR="00111C4F" w:rsidRPr="00DD1FA4" w:rsidRDefault="00111C4F" w:rsidP="00DD1FA4">
      <w:pPr>
        <w:pStyle w:val="ListParagraph"/>
        <w:numPr>
          <w:ilvl w:val="0"/>
          <w:numId w:val="6"/>
        </w:numPr>
        <w:rPr>
          <w:i/>
          <w:szCs w:val="20"/>
        </w:rPr>
      </w:pPr>
      <w:r w:rsidRPr="00DD1FA4">
        <w:rPr>
          <w:i/>
          <w:szCs w:val="20"/>
        </w:rPr>
        <w:t xml:space="preserve">Make an argument about whether the Affordable Care Act is consistent with or a departure from the purpose/role of government </w:t>
      </w:r>
      <w:r w:rsidR="00DD1FA4" w:rsidRPr="00DD1FA4">
        <w:rPr>
          <w:i/>
          <w:szCs w:val="20"/>
        </w:rPr>
        <w:t>(10 points)</w:t>
      </w:r>
    </w:p>
    <w:p w14:paraId="72BFCF0E" w14:textId="177C1F79" w:rsidR="00111C4F" w:rsidRDefault="00111C4F" w:rsidP="00DD1FA4">
      <w:pPr>
        <w:pStyle w:val="ListParagraph"/>
        <w:numPr>
          <w:ilvl w:val="1"/>
          <w:numId w:val="6"/>
        </w:numPr>
        <w:rPr>
          <w:szCs w:val="20"/>
        </w:rPr>
      </w:pPr>
      <w:r>
        <w:rPr>
          <w:szCs w:val="20"/>
        </w:rPr>
        <w:t xml:space="preserve">Write a “thesis statement” in which you make an argument about whether the Affordable Care Act is consistent with or a departure from the purpose/role of government </w:t>
      </w:r>
      <w:r w:rsidR="00DD1FA4">
        <w:rPr>
          <w:szCs w:val="20"/>
        </w:rPr>
        <w:t xml:space="preserve">from </w:t>
      </w:r>
      <w:r w:rsidR="00253E35">
        <w:rPr>
          <w:szCs w:val="20"/>
        </w:rPr>
        <w:t>the Gilded Age until the present.</w:t>
      </w:r>
    </w:p>
    <w:p w14:paraId="43773DE7" w14:textId="77777777" w:rsidR="00DD1FA4" w:rsidRDefault="00DD1FA4" w:rsidP="00DD1FA4">
      <w:pPr>
        <w:pStyle w:val="ListParagraph"/>
        <w:rPr>
          <w:szCs w:val="20"/>
        </w:rPr>
      </w:pPr>
    </w:p>
    <w:p w14:paraId="508E9D76" w14:textId="77777777" w:rsidR="00111C4F" w:rsidRPr="00DD1FA4" w:rsidRDefault="00111C4F" w:rsidP="00DD1FA4">
      <w:pPr>
        <w:pStyle w:val="ListParagraph"/>
        <w:numPr>
          <w:ilvl w:val="0"/>
          <w:numId w:val="6"/>
        </w:numPr>
        <w:rPr>
          <w:i/>
          <w:szCs w:val="20"/>
        </w:rPr>
      </w:pPr>
      <w:r w:rsidRPr="00DD1FA4">
        <w:rPr>
          <w:i/>
          <w:szCs w:val="20"/>
        </w:rPr>
        <w:t>Identify Evidence in Support</w:t>
      </w:r>
      <w:r w:rsidR="00DD1FA4" w:rsidRPr="00DD1FA4">
        <w:rPr>
          <w:i/>
          <w:szCs w:val="20"/>
        </w:rPr>
        <w:t xml:space="preserve"> (30 points)</w:t>
      </w:r>
    </w:p>
    <w:p w14:paraId="0A3B89D8" w14:textId="77777777" w:rsidR="00DD1FA4" w:rsidRDefault="00DD1FA4" w:rsidP="00DD1FA4">
      <w:pPr>
        <w:pStyle w:val="ListParagraph"/>
        <w:numPr>
          <w:ilvl w:val="1"/>
          <w:numId w:val="6"/>
        </w:numPr>
        <w:rPr>
          <w:szCs w:val="20"/>
        </w:rPr>
      </w:pPr>
      <w:r>
        <w:rPr>
          <w:szCs w:val="20"/>
        </w:rPr>
        <w:t>Make a chart in which you identify 4+ pieces of evidence and provide analysis for how each upholds your thesis.</w:t>
      </w:r>
    </w:p>
    <w:p w14:paraId="2923CC02" w14:textId="77777777" w:rsidR="00DD1FA4" w:rsidRDefault="00DD1FA4" w:rsidP="00DD1FA4">
      <w:pPr>
        <w:pStyle w:val="ListParagraph"/>
        <w:numPr>
          <w:ilvl w:val="1"/>
          <w:numId w:val="6"/>
        </w:numPr>
        <w:rPr>
          <w:szCs w:val="20"/>
        </w:rPr>
      </w:pPr>
      <w:r>
        <w:rPr>
          <w:szCs w:val="20"/>
        </w:rPr>
        <w:t>Your chart must convey a detailed understanding of both the Affordable Care Act and the material we have covered this unit.</w:t>
      </w:r>
    </w:p>
    <w:p w14:paraId="5D562677" w14:textId="3E659F10" w:rsidR="00DD1FA4" w:rsidRDefault="00DD1FA4" w:rsidP="00DD1FA4">
      <w:pPr>
        <w:pStyle w:val="ListParagraph"/>
        <w:numPr>
          <w:ilvl w:val="1"/>
          <w:numId w:val="6"/>
        </w:numPr>
        <w:rPr>
          <w:szCs w:val="20"/>
        </w:rPr>
      </w:pPr>
      <w:r>
        <w:rPr>
          <w:szCs w:val="20"/>
        </w:rPr>
        <w:t xml:space="preserve">Your “time line” for evidence should be </w:t>
      </w:r>
      <w:r w:rsidR="00253E35">
        <w:rPr>
          <w:szCs w:val="20"/>
        </w:rPr>
        <w:t>all of American history</w:t>
      </w:r>
      <w:r>
        <w:rPr>
          <w:szCs w:val="20"/>
        </w:rPr>
        <w:t>.</w:t>
      </w:r>
    </w:p>
    <w:p w14:paraId="4D0E96D8" w14:textId="77777777" w:rsidR="00DD1FA4" w:rsidRPr="00DD1FA4" w:rsidRDefault="00DD1FA4" w:rsidP="00DD1FA4">
      <w:pPr>
        <w:pStyle w:val="ListParagraph"/>
        <w:numPr>
          <w:ilvl w:val="1"/>
          <w:numId w:val="6"/>
        </w:numPr>
        <w:rPr>
          <w:szCs w:val="20"/>
        </w:rPr>
      </w:pPr>
      <w:r>
        <w:rPr>
          <w:szCs w:val="20"/>
        </w:rPr>
        <w:t>You may model your chart as follows if you wish:</w:t>
      </w:r>
    </w:p>
    <w:tbl>
      <w:tblPr>
        <w:tblStyle w:val="TableGrid"/>
        <w:tblW w:w="0" w:type="auto"/>
        <w:tblInd w:w="1440" w:type="dxa"/>
        <w:tblLook w:val="04A0" w:firstRow="1" w:lastRow="0" w:firstColumn="1" w:lastColumn="0" w:noHBand="0" w:noVBand="1"/>
      </w:tblPr>
      <w:tblGrid>
        <w:gridCol w:w="2826"/>
        <w:gridCol w:w="2817"/>
        <w:gridCol w:w="2781"/>
      </w:tblGrid>
      <w:tr w:rsidR="00DD1FA4" w14:paraId="20DC0F54" w14:textId="77777777" w:rsidTr="00DD1FA4">
        <w:tc>
          <w:tcPr>
            <w:tcW w:w="3192" w:type="dxa"/>
          </w:tcPr>
          <w:p w14:paraId="43BDC0B9" w14:textId="77777777" w:rsidR="00DD1FA4" w:rsidRPr="00DD1FA4" w:rsidRDefault="00DD1FA4" w:rsidP="00DD1FA4">
            <w:pPr>
              <w:ind w:left="360"/>
              <w:rPr>
                <w:b/>
                <w:i/>
                <w:szCs w:val="20"/>
              </w:rPr>
            </w:pPr>
            <w:r w:rsidRPr="00DD1FA4">
              <w:rPr>
                <w:b/>
                <w:i/>
                <w:szCs w:val="20"/>
              </w:rPr>
              <w:t>Evidence</w:t>
            </w:r>
          </w:p>
        </w:tc>
        <w:tc>
          <w:tcPr>
            <w:tcW w:w="3192" w:type="dxa"/>
          </w:tcPr>
          <w:p w14:paraId="61975465" w14:textId="77777777" w:rsidR="00DD1FA4" w:rsidRPr="00DD1FA4" w:rsidRDefault="00DD1FA4" w:rsidP="00DD1FA4">
            <w:pPr>
              <w:ind w:left="360"/>
              <w:rPr>
                <w:b/>
                <w:i/>
                <w:szCs w:val="20"/>
              </w:rPr>
            </w:pPr>
            <w:r w:rsidRPr="00DD1FA4">
              <w:rPr>
                <w:b/>
                <w:i/>
                <w:szCs w:val="20"/>
              </w:rPr>
              <w:t>Analysis</w:t>
            </w:r>
          </w:p>
        </w:tc>
        <w:tc>
          <w:tcPr>
            <w:tcW w:w="3192" w:type="dxa"/>
          </w:tcPr>
          <w:p w14:paraId="058D82B5" w14:textId="77777777" w:rsidR="00DD1FA4" w:rsidRPr="00DD1FA4" w:rsidRDefault="00DD1FA4" w:rsidP="00DD1FA4">
            <w:pPr>
              <w:ind w:left="360"/>
              <w:rPr>
                <w:b/>
                <w:i/>
                <w:szCs w:val="20"/>
              </w:rPr>
            </w:pPr>
            <w:r w:rsidRPr="00DD1FA4">
              <w:rPr>
                <w:b/>
                <w:i/>
                <w:szCs w:val="20"/>
              </w:rPr>
              <w:t>Source</w:t>
            </w:r>
          </w:p>
        </w:tc>
      </w:tr>
      <w:tr w:rsidR="00DD1FA4" w14:paraId="03C56734" w14:textId="77777777" w:rsidTr="00DD1FA4">
        <w:tc>
          <w:tcPr>
            <w:tcW w:w="3192" w:type="dxa"/>
          </w:tcPr>
          <w:p w14:paraId="3544DE7C" w14:textId="77777777" w:rsidR="00DD1FA4" w:rsidRPr="00DD1FA4" w:rsidRDefault="00DD1FA4" w:rsidP="00DD1FA4">
            <w:pPr>
              <w:ind w:left="360"/>
              <w:rPr>
                <w:szCs w:val="20"/>
              </w:rPr>
            </w:pPr>
          </w:p>
        </w:tc>
        <w:tc>
          <w:tcPr>
            <w:tcW w:w="3192" w:type="dxa"/>
          </w:tcPr>
          <w:p w14:paraId="2E181423" w14:textId="77777777" w:rsidR="00DD1FA4" w:rsidRPr="00DD1FA4" w:rsidRDefault="00DD1FA4" w:rsidP="00DD1FA4">
            <w:pPr>
              <w:ind w:left="360"/>
              <w:rPr>
                <w:szCs w:val="20"/>
              </w:rPr>
            </w:pPr>
          </w:p>
        </w:tc>
        <w:tc>
          <w:tcPr>
            <w:tcW w:w="3192" w:type="dxa"/>
          </w:tcPr>
          <w:p w14:paraId="6CC95B6D" w14:textId="77777777" w:rsidR="00DD1FA4" w:rsidRPr="00DD1FA4" w:rsidRDefault="00DD1FA4" w:rsidP="00DD1FA4">
            <w:pPr>
              <w:ind w:left="360"/>
              <w:rPr>
                <w:szCs w:val="20"/>
              </w:rPr>
            </w:pPr>
          </w:p>
        </w:tc>
      </w:tr>
      <w:tr w:rsidR="00DD1FA4" w14:paraId="2F915113" w14:textId="77777777" w:rsidTr="00DD1FA4">
        <w:tc>
          <w:tcPr>
            <w:tcW w:w="3192" w:type="dxa"/>
          </w:tcPr>
          <w:p w14:paraId="4714DA15" w14:textId="77777777" w:rsidR="00DD1FA4" w:rsidRPr="00DD1FA4" w:rsidRDefault="00DD1FA4" w:rsidP="00DD1FA4">
            <w:pPr>
              <w:ind w:left="360"/>
              <w:rPr>
                <w:szCs w:val="20"/>
              </w:rPr>
            </w:pPr>
          </w:p>
        </w:tc>
        <w:tc>
          <w:tcPr>
            <w:tcW w:w="3192" w:type="dxa"/>
          </w:tcPr>
          <w:p w14:paraId="05FF2735" w14:textId="77777777" w:rsidR="00DD1FA4" w:rsidRPr="00DD1FA4" w:rsidRDefault="00DD1FA4" w:rsidP="00DD1FA4">
            <w:pPr>
              <w:ind w:left="360"/>
              <w:rPr>
                <w:szCs w:val="20"/>
              </w:rPr>
            </w:pPr>
          </w:p>
        </w:tc>
        <w:tc>
          <w:tcPr>
            <w:tcW w:w="3192" w:type="dxa"/>
          </w:tcPr>
          <w:p w14:paraId="288FCBFC" w14:textId="77777777" w:rsidR="00DD1FA4" w:rsidRPr="00DD1FA4" w:rsidRDefault="00DD1FA4" w:rsidP="00DD1FA4">
            <w:pPr>
              <w:ind w:left="360"/>
              <w:rPr>
                <w:szCs w:val="20"/>
              </w:rPr>
            </w:pPr>
          </w:p>
        </w:tc>
      </w:tr>
    </w:tbl>
    <w:p w14:paraId="74E00729" w14:textId="77777777" w:rsidR="00DD1FA4" w:rsidRPr="00DD1FA4" w:rsidRDefault="00DD1FA4" w:rsidP="00DD1FA4">
      <w:pPr>
        <w:ind w:left="1440"/>
        <w:rPr>
          <w:szCs w:val="20"/>
        </w:rPr>
      </w:pPr>
    </w:p>
    <w:p w14:paraId="517FB81D" w14:textId="77777777" w:rsidR="00EA3FD3" w:rsidRPr="00DD1FA4" w:rsidRDefault="00DD1FA4" w:rsidP="00DD1FA4">
      <w:pPr>
        <w:pStyle w:val="ListParagraph"/>
        <w:numPr>
          <w:ilvl w:val="0"/>
          <w:numId w:val="6"/>
        </w:numPr>
        <w:rPr>
          <w:i/>
          <w:szCs w:val="20"/>
        </w:rPr>
      </w:pPr>
      <w:r w:rsidRPr="00DD1FA4">
        <w:rPr>
          <w:i/>
          <w:szCs w:val="20"/>
        </w:rPr>
        <w:t>Discussion (50 points)</w:t>
      </w:r>
    </w:p>
    <w:p w14:paraId="2BC71311" w14:textId="77777777" w:rsidR="00DD1FA4" w:rsidRPr="00DD1FA4" w:rsidRDefault="00DD1FA4" w:rsidP="00DD1FA4">
      <w:pPr>
        <w:pStyle w:val="ListParagraph"/>
        <w:numPr>
          <w:ilvl w:val="1"/>
          <w:numId w:val="6"/>
        </w:numPr>
        <w:rPr>
          <w:szCs w:val="20"/>
        </w:rPr>
      </w:pPr>
      <w:r>
        <w:rPr>
          <w:szCs w:val="20"/>
        </w:rPr>
        <w:t>See attached rubric for requirements</w:t>
      </w:r>
    </w:p>
    <w:p w14:paraId="0F33478C" w14:textId="77777777" w:rsidR="00EA3FD3" w:rsidRDefault="00EA3FD3" w:rsidP="00EA3FD3">
      <w:pPr>
        <w:rPr>
          <w:b/>
          <w:szCs w:val="20"/>
        </w:rPr>
      </w:pPr>
    </w:p>
    <w:p w14:paraId="0F12B077" w14:textId="47A6B5C3" w:rsidR="00253E35" w:rsidRDefault="00253E35" w:rsidP="00EA3FD3">
      <w:pPr>
        <w:rPr>
          <w:b/>
          <w:szCs w:val="20"/>
        </w:rPr>
      </w:pPr>
      <w:r>
        <w:rPr>
          <w:b/>
          <w:szCs w:val="20"/>
        </w:rPr>
        <w:t>You will be given one day in class to prepare, and should complete any additional work for homework</w:t>
      </w:r>
      <w:r w:rsidR="002C122E">
        <w:rPr>
          <w:b/>
          <w:szCs w:val="20"/>
        </w:rPr>
        <w:t>.</w:t>
      </w:r>
    </w:p>
    <w:p w14:paraId="5B088F09" w14:textId="77777777" w:rsidR="00253E35" w:rsidRPr="00DD1FA4" w:rsidRDefault="00253E35" w:rsidP="00EA3FD3">
      <w:pPr>
        <w:rPr>
          <w:b/>
          <w:szCs w:val="20"/>
        </w:rPr>
      </w:pPr>
    </w:p>
    <w:p w14:paraId="3D4C8D91" w14:textId="77777777" w:rsidR="00DD1FA4" w:rsidRDefault="00DD1FA4" w:rsidP="00EA3FD3">
      <w:pPr>
        <w:rPr>
          <w:szCs w:val="20"/>
        </w:rPr>
      </w:pPr>
      <w:r w:rsidRPr="00DD1FA4">
        <w:rPr>
          <w:b/>
          <w:szCs w:val="20"/>
        </w:rPr>
        <w:t>Discussion Dates:</w:t>
      </w:r>
    </w:p>
    <w:p w14:paraId="4BD56107" w14:textId="04C5AA89" w:rsidR="00DD1FA4" w:rsidRDefault="00253E35" w:rsidP="00EA3FD3">
      <w:pPr>
        <w:rPr>
          <w:szCs w:val="20"/>
        </w:rPr>
      </w:pPr>
      <w:r>
        <w:rPr>
          <w:szCs w:val="20"/>
        </w:rPr>
        <w:t>Green: Thursday April 3</w:t>
      </w:r>
    </w:p>
    <w:p w14:paraId="59A0C20B" w14:textId="2E2BFBD3" w:rsidR="00253E35" w:rsidRDefault="00253E35" w:rsidP="00EA3FD3">
      <w:pPr>
        <w:rPr>
          <w:szCs w:val="20"/>
        </w:rPr>
      </w:pPr>
      <w:r>
        <w:rPr>
          <w:szCs w:val="20"/>
        </w:rPr>
        <w:t>Yellow: Tuesday April 8</w:t>
      </w:r>
    </w:p>
    <w:p w14:paraId="53F81DB0" w14:textId="77777777" w:rsidR="00726DC0" w:rsidRDefault="00726DC0" w:rsidP="00EA3FD3">
      <w:pPr>
        <w:rPr>
          <w:szCs w:val="20"/>
        </w:rPr>
      </w:pPr>
    </w:p>
    <w:p w14:paraId="0E1D0A6B" w14:textId="77777777" w:rsidR="00253E35" w:rsidRDefault="00253E35" w:rsidP="00EA3FD3">
      <w:pPr>
        <w:rPr>
          <w:szCs w:val="20"/>
        </w:rPr>
      </w:pPr>
    </w:p>
    <w:p w14:paraId="7097C219" w14:textId="77777777" w:rsidR="00A156AB" w:rsidRDefault="00DD1FA4" w:rsidP="00A156AB">
      <w:pPr>
        <w:widowControl w:val="0"/>
        <w:pBdr>
          <w:bottom w:val="single" w:sz="12" w:space="1" w:color="auto"/>
        </w:pBdr>
        <w:autoSpaceDE w:val="0"/>
        <w:autoSpaceDN w:val="0"/>
        <w:adjustRightInd w:val="0"/>
        <w:spacing w:after="220" w:line="380" w:lineRule="atLeast"/>
        <w:rPr>
          <w:rFonts w:cs="Didot"/>
          <w:szCs w:val="20"/>
          <w:lang w:eastAsia="ja-JP"/>
        </w:rPr>
      </w:pPr>
      <w:r w:rsidRPr="00A156AB">
        <w:rPr>
          <w:rFonts w:cs="Didot"/>
          <w:b/>
          <w:i/>
          <w:szCs w:val="20"/>
          <w:lang w:eastAsia="ja-JP"/>
        </w:rPr>
        <w:lastRenderedPageBreak/>
        <w:t>Overview</w:t>
      </w:r>
      <w:r w:rsidR="00A156AB" w:rsidRPr="00A156AB">
        <w:rPr>
          <w:rFonts w:cs="Didot"/>
          <w:b/>
          <w:i/>
          <w:szCs w:val="20"/>
          <w:lang w:eastAsia="ja-JP"/>
        </w:rPr>
        <w:t xml:space="preserve"> of the Affordable Care Act</w:t>
      </w:r>
      <w:r w:rsidR="00A156AB">
        <w:rPr>
          <w:rFonts w:cs="Didot"/>
          <w:szCs w:val="20"/>
          <w:lang w:eastAsia="ja-JP"/>
        </w:rPr>
        <w:t xml:space="preserve"> (From Wikipedia)</w:t>
      </w:r>
    </w:p>
    <w:p w14:paraId="08FE3F22" w14:textId="77777777" w:rsidR="00DD1FA4" w:rsidRPr="00A156AB" w:rsidRDefault="00DD1FA4" w:rsidP="00A156AB">
      <w:pPr>
        <w:widowControl w:val="0"/>
        <w:autoSpaceDE w:val="0"/>
        <w:autoSpaceDN w:val="0"/>
        <w:adjustRightInd w:val="0"/>
        <w:spacing w:after="220"/>
        <w:rPr>
          <w:rFonts w:cs="Didot"/>
          <w:szCs w:val="20"/>
          <w:lang w:eastAsia="ja-JP"/>
        </w:rPr>
      </w:pPr>
      <w:r w:rsidRPr="00A156AB">
        <w:rPr>
          <w:rFonts w:cs="Didot"/>
          <w:b/>
          <w:bCs/>
          <w:szCs w:val="20"/>
          <w:lang w:eastAsia="ja-JP"/>
        </w:rPr>
        <w:t>Provisions</w:t>
      </w:r>
    </w:p>
    <w:p w14:paraId="1CC8AD2E" w14:textId="77777777" w:rsidR="00DD1FA4" w:rsidRPr="00A156AB" w:rsidRDefault="00DD1FA4" w:rsidP="00A156AB">
      <w:pPr>
        <w:widowControl w:val="0"/>
        <w:autoSpaceDE w:val="0"/>
        <w:autoSpaceDN w:val="0"/>
        <w:adjustRightInd w:val="0"/>
        <w:spacing w:after="120"/>
        <w:rPr>
          <w:rFonts w:cs="Didot"/>
          <w:szCs w:val="20"/>
          <w:lang w:eastAsia="ja-JP"/>
        </w:rPr>
      </w:pPr>
      <w:r w:rsidRPr="00A156AB">
        <w:rPr>
          <w:rFonts w:cs="Didot"/>
          <w:szCs w:val="20"/>
          <w:lang w:eastAsia="ja-JP"/>
        </w:rPr>
        <w:t xml:space="preserve">PPACA includes numerous provisions to take effect over several years beginning in 2010. There is a </w:t>
      </w:r>
      <w:hyperlink r:id="rId6" w:history="1">
        <w:r w:rsidRPr="00A156AB">
          <w:rPr>
            <w:rFonts w:cs="Didot"/>
            <w:szCs w:val="20"/>
            <w:lang w:eastAsia="ja-JP"/>
          </w:rPr>
          <w:t>grandfather clause</w:t>
        </w:r>
      </w:hyperlink>
      <w:r w:rsidRPr="00A156AB">
        <w:rPr>
          <w:rFonts w:cs="Didot"/>
          <w:szCs w:val="20"/>
          <w:lang w:eastAsia="ja-JP"/>
        </w:rPr>
        <w:t xml:space="preserve"> on policies issued before then that exempt them from many of these provisions, but other provisions may affect existing policies.</w:t>
      </w:r>
    </w:p>
    <w:p w14:paraId="59A88F88" w14:textId="77777777" w:rsidR="00DD1FA4" w:rsidRPr="00A156AB" w:rsidRDefault="002C122E" w:rsidP="00A156AB">
      <w:pPr>
        <w:widowControl w:val="0"/>
        <w:numPr>
          <w:ilvl w:val="0"/>
          <w:numId w:val="3"/>
        </w:numPr>
        <w:tabs>
          <w:tab w:val="left" w:pos="220"/>
          <w:tab w:val="left" w:pos="720"/>
        </w:tabs>
        <w:autoSpaceDE w:val="0"/>
        <w:autoSpaceDN w:val="0"/>
        <w:adjustRightInd w:val="0"/>
        <w:spacing w:after="20"/>
        <w:ind w:hanging="720"/>
        <w:rPr>
          <w:rFonts w:cs="Didot"/>
          <w:szCs w:val="20"/>
          <w:lang w:eastAsia="ja-JP"/>
        </w:rPr>
      </w:pPr>
      <w:hyperlink r:id="rId7" w:history="1">
        <w:r w:rsidR="00DD1FA4" w:rsidRPr="00A156AB">
          <w:rPr>
            <w:rFonts w:cs="Didot"/>
            <w:szCs w:val="20"/>
            <w:lang w:eastAsia="ja-JP"/>
          </w:rPr>
          <w:t>Guaranteed issue</w:t>
        </w:r>
      </w:hyperlink>
      <w:r w:rsidR="00DD1FA4" w:rsidRPr="00A156AB">
        <w:rPr>
          <w:rFonts w:cs="Didot"/>
          <w:szCs w:val="20"/>
          <w:lang w:eastAsia="ja-JP"/>
        </w:rPr>
        <w:t xml:space="preserve"> will require policies to be issued regardless of any medical condition, and partial </w:t>
      </w:r>
      <w:hyperlink r:id="rId8" w:history="1">
        <w:r w:rsidR="00DD1FA4" w:rsidRPr="00A156AB">
          <w:rPr>
            <w:rFonts w:cs="Didot"/>
            <w:szCs w:val="20"/>
            <w:lang w:eastAsia="ja-JP"/>
          </w:rPr>
          <w:t>community rating</w:t>
        </w:r>
      </w:hyperlink>
      <w:r w:rsidR="00DD1FA4" w:rsidRPr="00A156AB">
        <w:rPr>
          <w:rFonts w:cs="Didot"/>
          <w:szCs w:val="20"/>
          <w:lang w:eastAsia="ja-JP"/>
        </w:rPr>
        <w:t xml:space="preserve"> will require insurers to offer the same premium to all applicants of the same age and geographical location without regard to gender or most </w:t>
      </w:r>
      <w:hyperlink r:id="rId9" w:history="1">
        <w:r w:rsidR="00DD1FA4" w:rsidRPr="00A156AB">
          <w:rPr>
            <w:rFonts w:cs="Didot"/>
            <w:szCs w:val="20"/>
            <w:lang w:eastAsia="ja-JP"/>
          </w:rPr>
          <w:t>pre-existing conditions</w:t>
        </w:r>
      </w:hyperlink>
      <w:r w:rsidR="00DD1FA4" w:rsidRPr="00A156AB">
        <w:rPr>
          <w:rFonts w:cs="Didot"/>
          <w:szCs w:val="20"/>
          <w:lang w:eastAsia="ja-JP"/>
        </w:rPr>
        <w:t xml:space="preserve"> (excluding </w:t>
      </w:r>
      <w:hyperlink r:id="rId10" w:history="1">
        <w:r w:rsidR="00DD1FA4" w:rsidRPr="00A156AB">
          <w:rPr>
            <w:rFonts w:cs="Didot"/>
            <w:szCs w:val="20"/>
            <w:lang w:eastAsia="ja-JP"/>
          </w:rPr>
          <w:t>tobacco</w:t>
        </w:r>
      </w:hyperlink>
      <w:r w:rsidR="00DD1FA4" w:rsidRPr="00A156AB">
        <w:rPr>
          <w:rFonts w:cs="Didot"/>
          <w:szCs w:val="20"/>
          <w:lang w:eastAsia="ja-JP"/>
        </w:rPr>
        <w:t xml:space="preserve"> use).</w:t>
      </w:r>
    </w:p>
    <w:p w14:paraId="32973BBC" w14:textId="77777777" w:rsidR="00DD1FA4" w:rsidRPr="00A156AB" w:rsidRDefault="00DD1FA4" w:rsidP="00A156AB">
      <w:pPr>
        <w:widowControl w:val="0"/>
        <w:numPr>
          <w:ilvl w:val="0"/>
          <w:numId w:val="3"/>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 xml:space="preserve">A shared responsibility requirement, commonly called an </w:t>
      </w:r>
      <w:hyperlink r:id="rId11" w:history="1">
        <w:r w:rsidRPr="00A156AB">
          <w:rPr>
            <w:rFonts w:cs="Didot"/>
            <w:szCs w:val="20"/>
            <w:lang w:eastAsia="ja-JP"/>
          </w:rPr>
          <w:t>individual mandate</w:t>
        </w:r>
      </w:hyperlink>
      <w:r w:rsidRPr="00A156AB">
        <w:rPr>
          <w:rFonts w:cs="Didot"/>
          <w:szCs w:val="20"/>
          <w:lang w:eastAsia="ja-JP"/>
        </w:rPr>
        <w:t>,</w:t>
      </w:r>
      <w:r w:rsidR="00A156AB">
        <w:rPr>
          <w:rFonts w:cs="Didot"/>
          <w:szCs w:val="20"/>
          <w:lang w:eastAsia="ja-JP"/>
        </w:rPr>
        <w:t xml:space="preserve"> </w:t>
      </w:r>
      <w:r w:rsidRPr="00A156AB">
        <w:rPr>
          <w:rFonts w:cs="Didot"/>
          <w:szCs w:val="20"/>
          <w:lang w:eastAsia="ja-JP"/>
        </w:rPr>
        <w:t xml:space="preserve">requires that all individuals not covered by an </w:t>
      </w:r>
      <w:hyperlink r:id="rId12" w:history="1">
        <w:r w:rsidRPr="00A156AB">
          <w:rPr>
            <w:rFonts w:cs="Didot"/>
            <w:szCs w:val="20"/>
            <w:lang w:eastAsia="ja-JP"/>
          </w:rPr>
          <w:t>employer sponsored health plan</w:t>
        </w:r>
      </w:hyperlink>
      <w:r w:rsidRPr="00A156AB">
        <w:rPr>
          <w:rFonts w:cs="Didot"/>
          <w:szCs w:val="20"/>
          <w:lang w:eastAsia="ja-JP"/>
        </w:rPr>
        <w:t xml:space="preserve">, </w:t>
      </w:r>
      <w:hyperlink r:id="rId13" w:history="1">
        <w:r w:rsidRPr="00A156AB">
          <w:rPr>
            <w:rFonts w:cs="Didot"/>
            <w:szCs w:val="20"/>
            <w:lang w:eastAsia="ja-JP"/>
          </w:rPr>
          <w:t>Medicaid</w:t>
        </w:r>
      </w:hyperlink>
      <w:r w:rsidRPr="00A156AB">
        <w:rPr>
          <w:rFonts w:cs="Didot"/>
          <w:szCs w:val="20"/>
          <w:lang w:eastAsia="ja-JP"/>
        </w:rPr>
        <w:t xml:space="preserve">, </w:t>
      </w:r>
      <w:hyperlink r:id="rId14" w:history="1">
        <w:r w:rsidRPr="00A156AB">
          <w:rPr>
            <w:rFonts w:cs="Didot"/>
            <w:szCs w:val="20"/>
            <w:lang w:eastAsia="ja-JP"/>
          </w:rPr>
          <w:t>Medicare</w:t>
        </w:r>
      </w:hyperlink>
      <w:r w:rsidRPr="00A156AB">
        <w:rPr>
          <w:rFonts w:cs="Didot"/>
          <w:szCs w:val="20"/>
          <w:lang w:eastAsia="ja-JP"/>
        </w:rPr>
        <w:t xml:space="preserve"> or other public insurance programs, secure an approved private-insurance policy or pay a penalty, unless the applicable individual is a member of a recognized religious sect exempted by the </w:t>
      </w:r>
      <w:hyperlink r:id="rId15" w:history="1">
        <w:r w:rsidRPr="00A156AB">
          <w:rPr>
            <w:rFonts w:cs="Didot"/>
            <w:szCs w:val="20"/>
            <w:lang w:eastAsia="ja-JP"/>
          </w:rPr>
          <w:t>Internal Revenue Service</w:t>
        </w:r>
      </w:hyperlink>
      <w:r w:rsidRPr="00A156AB">
        <w:rPr>
          <w:rFonts w:cs="Didot"/>
          <w:szCs w:val="20"/>
          <w:lang w:eastAsia="ja-JP"/>
        </w:rPr>
        <w:t>, or waived in cases of financial hardship.</w:t>
      </w:r>
    </w:p>
    <w:p w14:paraId="6EDB6147" w14:textId="77777777" w:rsidR="00DD1FA4" w:rsidRPr="00A156AB" w:rsidRDefault="002C122E" w:rsidP="00A156AB">
      <w:pPr>
        <w:widowControl w:val="0"/>
        <w:numPr>
          <w:ilvl w:val="0"/>
          <w:numId w:val="3"/>
        </w:numPr>
        <w:tabs>
          <w:tab w:val="left" w:pos="220"/>
          <w:tab w:val="left" w:pos="720"/>
        </w:tabs>
        <w:autoSpaceDE w:val="0"/>
        <w:autoSpaceDN w:val="0"/>
        <w:adjustRightInd w:val="0"/>
        <w:spacing w:after="20"/>
        <w:ind w:hanging="720"/>
        <w:rPr>
          <w:rFonts w:cs="Didot"/>
          <w:szCs w:val="20"/>
          <w:lang w:eastAsia="ja-JP"/>
        </w:rPr>
      </w:pPr>
      <w:hyperlink r:id="rId16" w:history="1">
        <w:r w:rsidR="00DD1FA4" w:rsidRPr="00A156AB">
          <w:rPr>
            <w:rFonts w:cs="Didot"/>
            <w:szCs w:val="20"/>
            <w:lang w:eastAsia="ja-JP"/>
          </w:rPr>
          <w:t>Health insurance exchanges</w:t>
        </w:r>
      </w:hyperlink>
      <w:r w:rsidR="00DD1FA4" w:rsidRPr="00A156AB">
        <w:rPr>
          <w:rFonts w:cs="Didot"/>
          <w:szCs w:val="20"/>
          <w:lang w:eastAsia="ja-JP"/>
        </w:rPr>
        <w:t xml:space="preserve"> will commence operation in each state, offering a marketplace where individuals and small businesses can compare policies and premiums, and buy insurance (with a government subsidy if eligible).</w:t>
      </w:r>
    </w:p>
    <w:p w14:paraId="712FD3A8" w14:textId="77777777" w:rsidR="00DD1FA4" w:rsidRPr="00A156AB" w:rsidRDefault="00DD1FA4" w:rsidP="00A156AB">
      <w:pPr>
        <w:widowControl w:val="0"/>
        <w:numPr>
          <w:ilvl w:val="0"/>
          <w:numId w:val="3"/>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 xml:space="preserve">Low-income individuals and families above 100% and up to 400% of the </w:t>
      </w:r>
      <w:hyperlink r:id="rId17" w:history="1">
        <w:r w:rsidRPr="00A156AB">
          <w:rPr>
            <w:rFonts w:cs="Didot"/>
            <w:szCs w:val="20"/>
            <w:lang w:eastAsia="ja-JP"/>
          </w:rPr>
          <w:t>federal poverty level</w:t>
        </w:r>
      </w:hyperlink>
      <w:r w:rsidRPr="00A156AB">
        <w:rPr>
          <w:rFonts w:cs="Didot"/>
          <w:szCs w:val="20"/>
          <w:lang w:eastAsia="ja-JP"/>
        </w:rPr>
        <w:t xml:space="preserve"> will receive </w:t>
      </w:r>
      <w:hyperlink r:id="rId18" w:history="1">
        <w:r w:rsidRPr="00A156AB">
          <w:rPr>
            <w:rFonts w:cs="Didot"/>
            <w:szCs w:val="20"/>
            <w:lang w:eastAsia="ja-JP"/>
          </w:rPr>
          <w:t>federal subsidies</w:t>
        </w:r>
      </w:hyperlink>
      <w:r w:rsidRPr="00A156AB">
        <w:rPr>
          <w:rFonts w:cs="Didot"/>
          <w:szCs w:val="20"/>
          <w:lang w:eastAsia="ja-JP"/>
        </w:rPr>
        <w:t xml:space="preserve"> on a </w:t>
      </w:r>
      <w:hyperlink r:id="rId19" w:history="1">
        <w:r w:rsidRPr="00A156AB">
          <w:rPr>
            <w:rFonts w:cs="Didot"/>
            <w:szCs w:val="20"/>
            <w:lang w:eastAsia="ja-JP"/>
          </w:rPr>
          <w:t>sliding scale</w:t>
        </w:r>
      </w:hyperlink>
      <w:r w:rsidRPr="00A156AB">
        <w:rPr>
          <w:rFonts w:cs="Didot"/>
          <w:szCs w:val="20"/>
          <w:lang w:eastAsia="ja-JP"/>
        </w:rPr>
        <w:t xml:space="preserve"> if they choose to purchase insurance via an exchange (those from 133% to 150% of the poverty level would be subsidized such that their premium cost would be 3% to 4% of income).</w:t>
      </w:r>
    </w:p>
    <w:p w14:paraId="52D7BF67" w14:textId="77777777" w:rsidR="00DD1FA4" w:rsidRPr="00A156AB" w:rsidRDefault="00DD1FA4" w:rsidP="00A156AB">
      <w:pPr>
        <w:widowControl w:val="0"/>
        <w:numPr>
          <w:ilvl w:val="0"/>
          <w:numId w:val="3"/>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 xml:space="preserve">The text of the law expands Medicaid eligibility to include all individuals and families with incomes up to 133% of </w:t>
      </w:r>
      <w:hyperlink r:id="rId20" w:history="1">
        <w:r w:rsidRPr="00A156AB">
          <w:rPr>
            <w:rFonts w:cs="Didot"/>
            <w:szCs w:val="20"/>
            <w:lang w:eastAsia="ja-JP"/>
          </w:rPr>
          <w:t>the poverty level</w:t>
        </w:r>
      </w:hyperlink>
      <w:r w:rsidRPr="00A156AB">
        <w:rPr>
          <w:rFonts w:cs="Didot"/>
          <w:szCs w:val="20"/>
          <w:lang w:eastAsia="ja-JP"/>
        </w:rPr>
        <w:t xml:space="preserve">, effectively 138%, and simplifies the </w:t>
      </w:r>
      <w:hyperlink r:id="rId21" w:history="1">
        <w:r w:rsidRPr="00A156AB">
          <w:rPr>
            <w:rFonts w:cs="Didot"/>
            <w:szCs w:val="20"/>
            <w:lang w:eastAsia="ja-JP"/>
          </w:rPr>
          <w:t>CHIP</w:t>
        </w:r>
      </w:hyperlink>
      <w:r w:rsidRPr="00A156AB">
        <w:rPr>
          <w:rFonts w:cs="Didot"/>
          <w:szCs w:val="20"/>
          <w:lang w:eastAsia="ja-JP"/>
        </w:rPr>
        <w:t xml:space="preserve"> enrollment process. In </w:t>
      </w:r>
      <w:hyperlink r:id="rId22" w:history="1">
        <w:r w:rsidRPr="001C5DBD">
          <w:rPr>
            <w:rFonts w:cs="Didot"/>
            <w:i/>
            <w:szCs w:val="20"/>
            <w:lang w:eastAsia="ja-JP"/>
          </w:rPr>
          <w:t xml:space="preserve">National Federation of Independent Business v. </w:t>
        </w:r>
        <w:proofErr w:type="spellStart"/>
        <w:r w:rsidRPr="001C5DBD">
          <w:rPr>
            <w:rFonts w:cs="Didot"/>
            <w:i/>
            <w:szCs w:val="20"/>
            <w:lang w:eastAsia="ja-JP"/>
          </w:rPr>
          <w:t>Sebelius</w:t>
        </w:r>
        <w:proofErr w:type="spellEnd"/>
      </w:hyperlink>
      <w:r w:rsidRPr="001C5DBD">
        <w:rPr>
          <w:rFonts w:cs="Didot"/>
          <w:i/>
          <w:szCs w:val="20"/>
          <w:lang w:eastAsia="ja-JP"/>
        </w:rPr>
        <w:t>,</w:t>
      </w:r>
      <w:r w:rsidRPr="00A156AB">
        <w:rPr>
          <w:rFonts w:cs="Didot"/>
          <w:szCs w:val="20"/>
          <w:lang w:eastAsia="ja-JP"/>
        </w:rPr>
        <w:t xml:space="preserve"> the Supreme Court effectively allowed states to opt out of the Medicaid expansion, and some states have stated their intention to do so. States that choose to reject the Medicaid expansion can set their own Medicaid eligibility thresholds, which in many states are significantly below 133% of the poverty line; in addition, many states do not make Medicaid available to childless adults at any income level. Because subsidies on insurance plans purchased through exchanges are not available to those below 100% of the poverty line, this may create a coverage gap in those states.</w:t>
      </w:r>
    </w:p>
    <w:p w14:paraId="39D6B77F" w14:textId="77777777" w:rsidR="00DD1FA4" w:rsidRPr="00A156AB" w:rsidRDefault="00DD1FA4" w:rsidP="00A156AB">
      <w:pPr>
        <w:widowControl w:val="0"/>
        <w:numPr>
          <w:ilvl w:val="0"/>
          <w:numId w:val="3"/>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Minimum standards for health insurance policies are to be established and annual and lifetime coverage caps will be banned.</w:t>
      </w:r>
    </w:p>
    <w:p w14:paraId="7D4A5E3F" w14:textId="77777777" w:rsidR="00DD1FA4" w:rsidRPr="00A156AB" w:rsidRDefault="00DD1FA4" w:rsidP="00A156AB">
      <w:pPr>
        <w:widowControl w:val="0"/>
        <w:numPr>
          <w:ilvl w:val="0"/>
          <w:numId w:val="3"/>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Firms employing 50 or more people but not offering health insurance will also pay a shared responsibility requirement if the government has had to subsidize an employee's health care.</w:t>
      </w:r>
    </w:p>
    <w:p w14:paraId="290E924C" w14:textId="77777777" w:rsidR="00DD1FA4" w:rsidRPr="00A156AB" w:rsidRDefault="00DD1FA4" w:rsidP="00A156AB">
      <w:pPr>
        <w:widowControl w:val="0"/>
        <w:numPr>
          <w:ilvl w:val="0"/>
          <w:numId w:val="3"/>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Very small businesses will be able to get subsidies if they purchase insurance through an exchange.</w:t>
      </w:r>
    </w:p>
    <w:p w14:paraId="2F0F2761" w14:textId="77777777" w:rsidR="00DD1FA4" w:rsidRPr="00A156AB" w:rsidRDefault="002C122E" w:rsidP="00A156AB">
      <w:pPr>
        <w:widowControl w:val="0"/>
        <w:numPr>
          <w:ilvl w:val="0"/>
          <w:numId w:val="3"/>
        </w:numPr>
        <w:tabs>
          <w:tab w:val="left" w:pos="220"/>
          <w:tab w:val="left" w:pos="720"/>
        </w:tabs>
        <w:autoSpaceDE w:val="0"/>
        <w:autoSpaceDN w:val="0"/>
        <w:adjustRightInd w:val="0"/>
        <w:spacing w:after="20"/>
        <w:ind w:hanging="720"/>
        <w:rPr>
          <w:rFonts w:cs="Didot"/>
          <w:szCs w:val="20"/>
          <w:lang w:eastAsia="ja-JP"/>
        </w:rPr>
      </w:pPr>
      <w:hyperlink r:id="rId23" w:history="1">
        <w:r w:rsidR="00DD1FA4" w:rsidRPr="00A156AB">
          <w:rPr>
            <w:rFonts w:cs="Didot"/>
            <w:szCs w:val="20"/>
            <w:lang w:eastAsia="ja-JP"/>
          </w:rPr>
          <w:t>Co-payments</w:t>
        </w:r>
      </w:hyperlink>
      <w:r w:rsidR="00DD1FA4" w:rsidRPr="00A156AB">
        <w:rPr>
          <w:rFonts w:cs="Didot"/>
          <w:szCs w:val="20"/>
          <w:lang w:eastAsia="ja-JP"/>
        </w:rPr>
        <w:t xml:space="preserve">, </w:t>
      </w:r>
      <w:hyperlink r:id="rId24" w:anchor="In_health_insurance" w:history="1">
        <w:r w:rsidR="00DD1FA4" w:rsidRPr="00A156AB">
          <w:rPr>
            <w:rFonts w:cs="Didot"/>
            <w:szCs w:val="20"/>
            <w:lang w:eastAsia="ja-JP"/>
          </w:rPr>
          <w:t>co-insurance</w:t>
        </w:r>
      </w:hyperlink>
      <w:r w:rsidR="00DD1FA4" w:rsidRPr="00A156AB">
        <w:rPr>
          <w:rFonts w:cs="Didot"/>
          <w:szCs w:val="20"/>
          <w:lang w:eastAsia="ja-JP"/>
        </w:rPr>
        <w:t xml:space="preserve">, and </w:t>
      </w:r>
      <w:hyperlink r:id="rId25" w:history="1">
        <w:r w:rsidR="00DD1FA4" w:rsidRPr="00A156AB">
          <w:rPr>
            <w:rFonts w:cs="Didot"/>
            <w:szCs w:val="20"/>
            <w:lang w:eastAsia="ja-JP"/>
          </w:rPr>
          <w:t>deductibles</w:t>
        </w:r>
      </w:hyperlink>
      <w:r w:rsidR="00DD1FA4" w:rsidRPr="00A156AB">
        <w:rPr>
          <w:rFonts w:cs="Didot"/>
          <w:szCs w:val="20"/>
          <w:lang w:eastAsia="ja-JP"/>
        </w:rPr>
        <w:t xml:space="preserve"> are to be eliminated for select health care insurance benefits considered to be part of an "essential benefits package"</w:t>
      </w:r>
      <w:r w:rsidR="00A156AB">
        <w:rPr>
          <w:rFonts w:cs="Didot"/>
          <w:szCs w:val="20"/>
          <w:lang w:eastAsia="ja-JP"/>
        </w:rPr>
        <w:t xml:space="preserve"> </w:t>
      </w:r>
      <w:r w:rsidR="00DD1FA4" w:rsidRPr="00A156AB">
        <w:rPr>
          <w:rFonts w:cs="Didot"/>
          <w:szCs w:val="20"/>
          <w:lang w:eastAsia="ja-JP"/>
        </w:rPr>
        <w:t xml:space="preserve">for Level A or Level B </w:t>
      </w:r>
      <w:hyperlink r:id="rId26" w:history="1">
        <w:r w:rsidR="00DD1FA4" w:rsidRPr="00A156AB">
          <w:rPr>
            <w:rFonts w:cs="Didot"/>
            <w:szCs w:val="20"/>
            <w:lang w:eastAsia="ja-JP"/>
          </w:rPr>
          <w:t>preventive care</w:t>
        </w:r>
      </w:hyperlink>
      <w:r w:rsidR="00DD1FA4" w:rsidRPr="00A156AB">
        <w:rPr>
          <w:rFonts w:cs="Didot"/>
          <w:szCs w:val="20"/>
          <w:lang w:eastAsia="ja-JP"/>
        </w:rPr>
        <w:t>.</w:t>
      </w:r>
    </w:p>
    <w:p w14:paraId="73668FCC" w14:textId="019975FA" w:rsidR="00DD1FA4" w:rsidRPr="00A156AB" w:rsidRDefault="00DD1FA4" w:rsidP="00A156AB">
      <w:pPr>
        <w:widowControl w:val="0"/>
        <w:numPr>
          <w:ilvl w:val="0"/>
          <w:numId w:val="3"/>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Changes are enacted that allow a restructuring of Medicare reimbursement from "fee-for-service" to "</w:t>
      </w:r>
      <w:hyperlink r:id="rId27" w:history="1">
        <w:r w:rsidRPr="00A156AB">
          <w:rPr>
            <w:rFonts w:cs="Didot"/>
            <w:szCs w:val="20"/>
            <w:lang w:eastAsia="ja-JP"/>
          </w:rPr>
          <w:t>bundled payment</w:t>
        </w:r>
      </w:hyperlink>
      <w:r w:rsidRPr="00A156AB">
        <w:rPr>
          <w:rFonts w:cs="Didot"/>
          <w:szCs w:val="20"/>
          <w:lang w:eastAsia="ja-JP"/>
        </w:rPr>
        <w:t>."</w:t>
      </w:r>
      <w:r w:rsidR="001C5DBD">
        <w:rPr>
          <w:rFonts w:cs="Didot"/>
          <w:szCs w:val="20"/>
          <w:lang w:eastAsia="ja-JP"/>
        </w:rPr>
        <w:t xml:space="preserve">  </w:t>
      </w:r>
      <w:r w:rsidRPr="00A156AB">
        <w:rPr>
          <w:rFonts w:cs="Didot"/>
          <w:szCs w:val="20"/>
          <w:lang w:eastAsia="ja-JP"/>
        </w:rPr>
        <w:t>A single payment is paid to a hospital and a physician group, for example, for a defined episode of care (such as a hip replacement), rather than individual payments to individual service-providers.</w:t>
      </w:r>
    </w:p>
    <w:p w14:paraId="40A783F7" w14:textId="77777777" w:rsidR="00DD1FA4" w:rsidRPr="00A156AB" w:rsidRDefault="00DD1FA4" w:rsidP="00A156AB">
      <w:pPr>
        <w:widowControl w:val="0"/>
        <w:autoSpaceDE w:val="0"/>
        <w:autoSpaceDN w:val="0"/>
        <w:adjustRightInd w:val="0"/>
        <w:rPr>
          <w:rFonts w:cs="Didot"/>
          <w:szCs w:val="20"/>
          <w:lang w:eastAsia="ja-JP"/>
        </w:rPr>
      </w:pPr>
    </w:p>
    <w:p w14:paraId="757E6222" w14:textId="77777777" w:rsidR="00DD1FA4" w:rsidRPr="00A156AB" w:rsidRDefault="00DD1FA4" w:rsidP="00A156AB">
      <w:pPr>
        <w:widowControl w:val="0"/>
        <w:autoSpaceDE w:val="0"/>
        <w:autoSpaceDN w:val="0"/>
        <w:adjustRightInd w:val="0"/>
        <w:spacing w:after="100"/>
        <w:rPr>
          <w:rFonts w:cs="Didot"/>
          <w:b/>
          <w:bCs/>
          <w:szCs w:val="20"/>
          <w:lang w:eastAsia="ja-JP"/>
        </w:rPr>
      </w:pPr>
      <w:r w:rsidRPr="00A156AB">
        <w:rPr>
          <w:rFonts w:cs="Didot"/>
          <w:b/>
          <w:bCs/>
          <w:szCs w:val="20"/>
          <w:lang w:eastAsia="ja-JP"/>
        </w:rPr>
        <w:t>Funding</w:t>
      </w:r>
    </w:p>
    <w:p w14:paraId="0C87B687" w14:textId="77777777" w:rsidR="00DD1FA4" w:rsidRPr="00A156AB" w:rsidRDefault="00DD1FA4" w:rsidP="00A156AB">
      <w:pPr>
        <w:widowControl w:val="0"/>
        <w:autoSpaceDE w:val="0"/>
        <w:autoSpaceDN w:val="0"/>
        <w:adjustRightInd w:val="0"/>
        <w:spacing w:after="120"/>
        <w:rPr>
          <w:rFonts w:cs="Didot"/>
          <w:szCs w:val="20"/>
          <w:lang w:eastAsia="ja-JP"/>
        </w:rPr>
      </w:pPr>
      <w:r w:rsidRPr="00A156AB">
        <w:rPr>
          <w:rFonts w:cs="Didot"/>
          <w:szCs w:val="20"/>
          <w:lang w:eastAsia="ja-JP"/>
        </w:rPr>
        <w:t xml:space="preserve">PPACA's provisions are funded by a variety of taxes and offsets. Major sources of new revenue include a much-broadened </w:t>
      </w:r>
      <w:hyperlink r:id="rId28" w:anchor="Medicare_tax" w:history="1">
        <w:r w:rsidRPr="00A156AB">
          <w:rPr>
            <w:rFonts w:cs="Didot"/>
            <w:szCs w:val="20"/>
            <w:lang w:eastAsia="ja-JP"/>
          </w:rPr>
          <w:t>Medicare tax</w:t>
        </w:r>
      </w:hyperlink>
      <w:r w:rsidRPr="00A156AB">
        <w:rPr>
          <w:rFonts w:cs="Didot"/>
          <w:szCs w:val="20"/>
          <w:lang w:eastAsia="ja-JP"/>
        </w:rPr>
        <w:t xml:space="preserve"> on incomes over $200,000 and $250,000, for individual and joint filers respectively, an annual fee on insurance providers, and a 40% </w:t>
      </w:r>
      <w:hyperlink r:id="rId29" w:history="1">
        <w:r w:rsidRPr="00A156AB">
          <w:rPr>
            <w:rFonts w:cs="Didot"/>
            <w:szCs w:val="20"/>
            <w:lang w:eastAsia="ja-JP"/>
          </w:rPr>
          <w:t>excise tax</w:t>
        </w:r>
      </w:hyperlink>
      <w:r w:rsidRPr="00A156AB">
        <w:rPr>
          <w:rFonts w:cs="Didot"/>
          <w:szCs w:val="20"/>
          <w:lang w:eastAsia="ja-JP"/>
        </w:rPr>
        <w:t xml:space="preserve"> on </w:t>
      </w:r>
      <w:hyperlink r:id="rId30" w:history="1">
        <w:r w:rsidRPr="00A156AB">
          <w:rPr>
            <w:rFonts w:cs="Didot"/>
            <w:szCs w:val="20"/>
            <w:lang w:eastAsia="ja-JP"/>
          </w:rPr>
          <w:t>"Cadillac" insurance policies</w:t>
        </w:r>
      </w:hyperlink>
      <w:r w:rsidRPr="00A156AB">
        <w:rPr>
          <w:rFonts w:cs="Didot"/>
          <w:szCs w:val="20"/>
          <w:lang w:eastAsia="ja-JP"/>
        </w:rPr>
        <w:t>. The income levels are not adjusted for inflation, leaving the possibility of increased taxes on incomes over 250,000 inflation-adjusted dollars after more than two decades without indexing through.</w:t>
      </w:r>
      <w:r w:rsidR="00A156AB">
        <w:rPr>
          <w:rFonts w:cs="Didot"/>
          <w:szCs w:val="20"/>
          <w:lang w:eastAsia="ja-JP"/>
        </w:rPr>
        <w:t xml:space="preserve">  </w:t>
      </w:r>
      <w:r w:rsidRPr="00A156AB">
        <w:rPr>
          <w:rFonts w:cs="Didot"/>
          <w:szCs w:val="20"/>
          <w:lang w:eastAsia="ja-JP"/>
        </w:rPr>
        <w:t xml:space="preserve">There are also taxes on pharmaceuticals, high-cost diagnostic equipment, and a 10% federal </w:t>
      </w:r>
      <w:hyperlink r:id="rId31" w:history="1">
        <w:r w:rsidRPr="00A156AB">
          <w:rPr>
            <w:rFonts w:cs="Didot"/>
            <w:szCs w:val="20"/>
            <w:lang w:eastAsia="ja-JP"/>
          </w:rPr>
          <w:t>sales tax</w:t>
        </w:r>
      </w:hyperlink>
      <w:r w:rsidRPr="00A156AB">
        <w:rPr>
          <w:rFonts w:cs="Didot"/>
          <w:szCs w:val="20"/>
          <w:lang w:eastAsia="ja-JP"/>
        </w:rPr>
        <w:t xml:space="preserve"> on </w:t>
      </w:r>
      <w:hyperlink r:id="rId32" w:history="1">
        <w:r w:rsidRPr="00A156AB">
          <w:rPr>
            <w:rFonts w:cs="Didot"/>
            <w:szCs w:val="20"/>
            <w:lang w:eastAsia="ja-JP"/>
          </w:rPr>
          <w:t>indoor tanning services</w:t>
        </w:r>
      </w:hyperlink>
      <w:r w:rsidRPr="00A156AB">
        <w:rPr>
          <w:rFonts w:cs="Didot"/>
          <w:szCs w:val="20"/>
          <w:lang w:eastAsia="ja-JP"/>
        </w:rPr>
        <w:t xml:space="preserve">. Offsets are from intended cost savings such as changes in the </w:t>
      </w:r>
      <w:hyperlink r:id="rId33" w:history="1">
        <w:r w:rsidRPr="00A156AB">
          <w:rPr>
            <w:rFonts w:cs="Didot"/>
            <w:szCs w:val="20"/>
            <w:lang w:eastAsia="ja-JP"/>
          </w:rPr>
          <w:t>Medicare Advantage</w:t>
        </w:r>
      </w:hyperlink>
      <w:r w:rsidRPr="00A156AB">
        <w:rPr>
          <w:rFonts w:cs="Didot"/>
          <w:szCs w:val="20"/>
          <w:lang w:eastAsia="ja-JP"/>
        </w:rPr>
        <w:t xml:space="preserve"> program relative to traditional Medicare.</w:t>
      </w:r>
    </w:p>
    <w:p w14:paraId="4D721C67" w14:textId="77777777" w:rsidR="00DD1FA4" w:rsidRPr="00A156AB" w:rsidRDefault="00DD1FA4" w:rsidP="00A156AB">
      <w:pPr>
        <w:widowControl w:val="0"/>
        <w:autoSpaceDE w:val="0"/>
        <w:autoSpaceDN w:val="0"/>
        <w:adjustRightInd w:val="0"/>
        <w:spacing w:after="120"/>
        <w:rPr>
          <w:rFonts w:cs="Didot"/>
          <w:szCs w:val="20"/>
          <w:lang w:eastAsia="ja-JP"/>
        </w:rPr>
      </w:pPr>
      <w:r w:rsidRPr="00A156AB">
        <w:rPr>
          <w:rFonts w:cs="Didot"/>
          <w:szCs w:val="20"/>
          <w:lang w:eastAsia="ja-JP"/>
        </w:rPr>
        <w:t>Summary of tax increases: (ten-year projection)</w:t>
      </w:r>
    </w:p>
    <w:p w14:paraId="2DB88093" w14:textId="77777777" w:rsidR="00DD1FA4" w:rsidRPr="00A156AB" w:rsidRDefault="00DD1FA4" w:rsidP="00A156AB">
      <w:pPr>
        <w:widowControl w:val="0"/>
        <w:numPr>
          <w:ilvl w:val="0"/>
          <w:numId w:val="4"/>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Increase Medicare tax rate by .9% and impose added tax of 3.8% on unearned income for high-income taxpayers: $210.2 billion</w:t>
      </w:r>
    </w:p>
    <w:p w14:paraId="1A29431F" w14:textId="77777777" w:rsidR="00DD1FA4" w:rsidRPr="00A156AB" w:rsidRDefault="00DD1FA4" w:rsidP="00A156AB">
      <w:pPr>
        <w:widowControl w:val="0"/>
        <w:numPr>
          <w:ilvl w:val="0"/>
          <w:numId w:val="4"/>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Charge an annual fee on health insurance providers: $60 billion</w:t>
      </w:r>
    </w:p>
    <w:p w14:paraId="3C00CD2F" w14:textId="77777777" w:rsidR="00DD1FA4" w:rsidRPr="00A156AB" w:rsidRDefault="00DD1FA4" w:rsidP="00A156AB">
      <w:pPr>
        <w:widowControl w:val="0"/>
        <w:numPr>
          <w:ilvl w:val="0"/>
          <w:numId w:val="4"/>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Impose a 40% excise tax on health insurance annual premiums in excess of $10,200 for an individual or $27,500 for a family: $32 billion</w:t>
      </w:r>
    </w:p>
    <w:p w14:paraId="05CC6483" w14:textId="77777777" w:rsidR="00DD1FA4" w:rsidRPr="00A156AB" w:rsidRDefault="00DD1FA4" w:rsidP="00A156AB">
      <w:pPr>
        <w:widowControl w:val="0"/>
        <w:numPr>
          <w:ilvl w:val="0"/>
          <w:numId w:val="4"/>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Impose an annual fee on manufacturers and importers of branded drugs: $27 billion</w:t>
      </w:r>
    </w:p>
    <w:p w14:paraId="0D38A04D" w14:textId="77777777" w:rsidR="00DD1FA4" w:rsidRPr="00A156AB" w:rsidRDefault="00DD1FA4" w:rsidP="00A156AB">
      <w:pPr>
        <w:widowControl w:val="0"/>
        <w:numPr>
          <w:ilvl w:val="0"/>
          <w:numId w:val="4"/>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Impose a 2.3% excise tax on manufacturers and importers of certain medical devices</w:t>
      </w:r>
      <w:proofErr w:type="gramStart"/>
      <w:r w:rsidRPr="00A156AB">
        <w:rPr>
          <w:rFonts w:cs="Didot"/>
          <w:szCs w:val="20"/>
          <w:lang w:eastAsia="ja-JP"/>
        </w:rPr>
        <w:t>:$</w:t>
      </w:r>
      <w:proofErr w:type="gramEnd"/>
      <w:r w:rsidRPr="00A156AB">
        <w:rPr>
          <w:rFonts w:cs="Didot"/>
          <w:szCs w:val="20"/>
          <w:lang w:eastAsia="ja-JP"/>
        </w:rPr>
        <w:t>20 billion</w:t>
      </w:r>
    </w:p>
    <w:p w14:paraId="506A71FA" w14:textId="77777777" w:rsidR="00DD1FA4" w:rsidRPr="00A156AB" w:rsidRDefault="00DD1FA4" w:rsidP="00A156AB">
      <w:pPr>
        <w:widowControl w:val="0"/>
        <w:numPr>
          <w:ilvl w:val="0"/>
          <w:numId w:val="4"/>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 xml:space="preserve">Raise the 7.5% </w:t>
      </w:r>
      <w:hyperlink r:id="rId34" w:history="1">
        <w:r w:rsidRPr="00A156AB">
          <w:rPr>
            <w:rFonts w:cs="Didot"/>
            <w:szCs w:val="20"/>
            <w:lang w:eastAsia="ja-JP"/>
          </w:rPr>
          <w:t>Adjusted Gross Income</w:t>
        </w:r>
      </w:hyperlink>
      <w:r w:rsidRPr="00A156AB">
        <w:rPr>
          <w:rFonts w:cs="Didot"/>
          <w:szCs w:val="20"/>
          <w:lang w:eastAsia="ja-JP"/>
        </w:rPr>
        <w:t xml:space="preserve"> floor on </w:t>
      </w:r>
      <w:hyperlink r:id="rId35" w:anchor="Examples_of_allowable_itemized_deductions" w:history="1">
        <w:r w:rsidRPr="00A156AB">
          <w:rPr>
            <w:rFonts w:cs="Didot"/>
            <w:szCs w:val="20"/>
            <w:lang w:eastAsia="ja-JP"/>
          </w:rPr>
          <w:t>medical expenses deduction</w:t>
        </w:r>
      </w:hyperlink>
      <w:r w:rsidRPr="00A156AB">
        <w:rPr>
          <w:rFonts w:cs="Didot"/>
          <w:szCs w:val="20"/>
          <w:lang w:eastAsia="ja-JP"/>
        </w:rPr>
        <w:t xml:space="preserve"> to 10%: $15.2 billion</w:t>
      </w:r>
    </w:p>
    <w:p w14:paraId="1EA37304" w14:textId="77777777" w:rsidR="00DD1FA4" w:rsidRPr="00A156AB" w:rsidRDefault="00DD1FA4" w:rsidP="00A156AB">
      <w:pPr>
        <w:widowControl w:val="0"/>
        <w:numPr>
          <w:ilvl w:val="0"/>
          <w:numId w:val="4"/>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 xml:space="preserve">Limit annual contributions to </w:t>
      </w:r>
      <w:hyperlink r:id="rId36" w:history="1">
        <w:r w:rsidRPr="00A156AB">
          <w:rPr>
            <w:rFonts w:cs="Didot"/>
            <w:szCs w:val="20"/>
            <w:lang w:eastAsia="ja-JP"/>
          </w:rPr>
          <w:t>flexible spending arrangements</w:t>
        </w:r>
      </w:hyperlink>
      <w:r w:rsidRPr="00A156AB">
        <w:rPr>
          <w:rFonts w:cs="Didot"/>
          <w:szCs w:val="20"/>
          <w:lang w:eastAsia="ja-JP"/>
        </w:rPr>
        <w:t xml:space="preserve"> in </w:t>
      </w:r>
      <w:hyperlink r:id="rId37" w:history="1">
        <w:r w:rsidRPr="00A156AB">
          <w:rPr>
            <w:rFonts w:cs="Didot"/>
            <w:szCs w:val="20"/>
            <w:lang w:eastAsia="ja-JP"/>
          </w:rPr>
          <w:t>cafeteria plans</w:t>
        </w:r>
      </w:hyperlink>
      <w:r w:rsidRPr="00A156AB">
        <w:rPr>
          <w:rFonts w:cs="Didot"/>
          <w:szCs w:val="20"/>
          <w:lang w:eastAsia="ja-JP"/>
        </w:rPr>
        <w:t xml:space="preserve"> to $2,500: $13 billion</w:t>
      </w:r>
    </w:p>
    <w:p w14:paraId="7F802934" w14:textId="77777777" w:rsidR="00DD1FA4" w:rsidRDefault="00DD1FA4" w:rsidP="00A156AB">
      <w:pPr>
        <w:widowControl w:val="0"/>
        <w:numPr>
          <w:ilvl w:val="0"/>
          <w:numId w:val="4"/>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All other revenue sources: $14.9 billion</w:t>
      </w:r>
    </w:p>
    <w:p w14:paraId="72B9BE67" w14:textId="77777777" w:rsidR="00A156AB" w:rsidRPr="00A156AB" w:rsidRDefault="00A156AB" w:rsidP="00A156AB">
      <w:pPr>
        <w:widowControl w:val="0"/>
        <w:tabs>
          <w:tab w:val="left" w:pos="220"/>
          <w:tab w:val="left" w:pos="720"/>
        </w:tabs>
        <w:autoSpaceDE w:val="0"/>
        <w:autoSpaceDN w:val="0"/>
        <w:adjustRightInd w:val="0"/>
        <w:spacing w:after="20"/>
        <w:ind w:left="720"/>
        <w:rPr>
          <w:rFonts w:cs="Didot"/>
          <w:szCs w:val="20"/>
          <w:lang w:eastAsia="ja-JP"/>
        </w:rPr>
      </w:pPr>
    </w:p>
    <w:p w14:paraId="5ACA61D7" w14:textId="77777777" w:rsidR="00DD1FA4" w:rsidRPr="00A156AB" w:rsidRDefault="00DD1FA4" w:rsidP="00A156AB">
      <w:pPr>
        <w:widowControl w:val="0"/>
        <w:autoSpaceDE w:val="0"/>
        <w:autoSpaceDN w:val="0"/>
        <w:adjustRightInd w:val="0"/>
        <w:spacing w:after="120"/>
        <w:rPr>
          <w:rFonts w:cs="Didot"/>
          <w:szCs w:val="20"/>
          <w:lang w:eastAsia="ja-JP"/>
        </w:rPr>
      </w:pPr>
      <w:r w:rsidRPr="00A156AB">
        <w:rPr>
          <w:rFonts w:cs="Didot"/>
          <w:szCs w:val="20"/>
          <w:lang w:eastAsia="ja-JP"/>
        </w:rPr>
        <w:t>Summary of spending offsets: (ten year projection)</w:t>
      </w:r>
    </w:p>
    <w:p w14:paraId="211848A7" w14:textId="77777777" w:rsidR="00DD1FA4" w:rsidRPr="00A156AB" w:rsidRDefault="00DD1FA4" w:rsidP="00A156AB">
      <w:pPr>
        <w:widowControl w:val="0"/>
        <w:numPr>
          <w:ilvl w:val="0"/>
          <w:numId w:val="5"/>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Reduce funding for Medicare Advantage policies: $132 billion</w:t>
      </w:r>
    </w:p>
    <w:p w14:paraId="3BA7F673" w14:textId="77777777" w:rsidR="00DD1FA4" w:rsidRPr="00A156AB" w:rsidRDefault="00DD1FA4" w:rsidP="00A156AB">
      <w:pPr>
        <w:widowControl w:val="0"/>
        <w:numPr>
          <w:ilvl w:val="0"/>
          <w:numId w:val="5"/>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Reduce Medicare home health care payments: $40 billion</w:t>
      </w:r>
    </w:p>
    <w:p w14:paraId="35A67411" w14:textId="77777777" w:rsidR="00DD1FA4" w:rsidRPr="00A156AB" w:rsidRDefault="00DD1FA4" w:rsidP="00A156AB">
      <w:pPr>
        <w:widowControl w:val="0"/>
        <w:numPr>
          <w:ilvl w:val="0"/>
          <w:numId w:val="5"/>
        </w:numPr>
        <w:tabs>
          <w:tab w:val="left" w:pos="220"/>
          <w:tab w:val="left" w:pos="720"/>
        </w:tabs>
        <w:autoSpaceDE w:val="0"/>
        <w:autoSpaceDN w:val="0"/>
        <w:adjustRightInd w:val="0"/>
        <w:spacing w:after="20"/>
        <w:ind w:hanging="720"/>
        <w:rPr>
          <w:rFonts w:cs="Didot"/>
          <w:szCs w:val="20"/>
          <w:lang w:eastAsia="ja-JP"/>
        </w:rPr>
      </w:pPr>
      <w:r w:rsidRPr="00A156AB">
        <w:rPr>
          <w:rFonts w:cs="Didot"/>
          <w:szCs w:val="20"/>
          <w:lang w:eastAsia="ja-JP"/>
        </w:rPr>
        <w:t>Reduce certain Medicare hospital payments: $22 billion</w:t>
      </w:r>
    </w:p>
    <w:p w14:paraId="4DBF854B" w14:textId="77777777" w:rsidR="00DD1FA4" w:rsidRDefault="00DD1FA4" w:rsidP="00DD1FA4">
      <w:pPr>
        <w:pBdr>
          <w:bottom w:val="single" w:sz="12" w:space="1" w:color="auto"/>
        </w:pBdr>
        <w:rPr>
          <w:szCs w:val="20"/>
        </w:rPr>
      </w:pPr>
    </w:p>
    <w:p w14:paraId="47697546" w14:textId="77777777" w:rsidR="00A156AB" w:rsidRDefault="00A156AB" w:rsidP="00EA3FD3">
      <w:pPr>
        <w:rPr>
          <w:szCs w:val="20"/>
        </w:rPr>
      </w:pPr>
    </w:p>
    <w:p w14:paraId="33C4CEE7" w14:textId="77777777" w:rsidR="00DD1FA4" w:rsidRDefault="00DD1FA4" w:rsidP="00EA3FD3">
      <w:pPr>
        <w:rPr>
          <w:szCs w:val="20"/>
        </w:rPr>
      </w:pPr>
    </w:p>
    <w:p w14:paraId="204250E8" w14:textId="77777777" w:rsidR="00726DC0" w:rsidRDefault="00DD1FA4" w:rsidP="00EA3FD3">
      <w:pPr>
        <w:rPr>
          <w:szCs w:val="20"/>
        </w:rPr>
      </w:pPr>
      <w:r>
        <w:rPr>
          <w:szCs w:val="20"/>
        </w:rPr>
        <w:t xml:space="preserve">Additional </w:t>
      </w:r>
      <w:r w:rsidR="00726DC0">
        <w:rPr>
          <w:szCs w:val="20"/>
        </w:rPr>
        <w:t>Resources</w:t>
      </w:r>
      <w:r>
        <w:rPr>
          <w:szCs w:val="20"/>
        </w:rPr>
        <w:t xml:space="preserve"> To Consult</w:t>
      </w:r>
      <w:r w:rsidR="00726DC0">
        <w:rPr>
          <w:szCs w:val="20"/>
        </w:rPr>
        <w:t>:</w:t>
      </w:r>
    </w:p>
    <w:p w14:paraId="2B2697B8" w14:textId="77777777" w:rsidR="00726DC0" w:rsidRDefault="00726DC0" w:rsidP="00EA3FD3">
      <w:pPr>
        <w:rPr>
          <w:szCs w:val="20"/>
        </w:rPr>
      </w:pPr>
    </w:p>
    <w:p w14:paraId="0297339B" w14:textId="77777777" w:rsidR="00726DC0" w:rsidRPr="00726DC0" w:rsidRDefault="00726DC0" w:rsidP="00726DC0">
      <w:pPr>
        <w:pStyle w:val="ListParagraph"/>
        <w:numPr>
          <w:ilvl w:val="0"/>
          <w:numId w:val="1"/>
        </w:numPr>
        <w:rPr>
          <w:szCs w:val="20"/>
        </w:rPr>
      </w:pPr>
      <w:proofErr w:type="spellStart"/>
      <w:r w:rsidRPr="00726DC0">
        <w:rPr>
          <w:szCs w:val="20"/>
        </w:rPr>
        <w:t>Infographic</w:t>
      </w:r>
      <w:proofErr w:type="spellEnd"/>
      <w:r w:rsidRPr="00726DC0">
        <w:rPr>
          <w:szCs w:val="20"/>
        </w:rPr>
        <w:t xml:space="preserve"> on Health Care Reform Benefits put out by the White House: </w:t>
      </w:r>
      <w:hyperlink r:id="rId38" w:history="1">
        <w:r w:rsidRPr="00726DC0">
          <w:rPr>
            <w:rStyle w:val="Hyperlink"/>
            <w:szCs w:val="20"/>
          </w:rPr>
          <w:t>http://www.whit</w:t>
        </w:r>
        <w:r w:rsidRPr="00726DC0">
          <w:rPr>
            <w:rStyle w:val="Hyperlink"/>
            <w:szCs w:val="20"/>
          </w:rPr>
          <w:t>e</w:t>
        </w:r>
        <w:r w:rsidRPr="00726DC0">
          <w:rPr>
            <w:rStyle w:val="Hyperlink"/>
            <w:szCs w:val="20"/>
          </w:rPr>
          <w:t>house.gov/blog/2012/06/28/supreme-court-upholds-president-obamas-health-care-reform</w:t>
        </w:r>
      </w:hyperlink>
      <w:r w:rsidRPr="00726DC0">
        <w:rPr>
          <w:szCs w:val="20"/>
        </w:rPr>
        <w:t xml:space="preserve"> (scroll down)</w:t>
      </w:r>
    </w:p>
    <w:p w14:paraId="3BCF2637" w14:textId="77777777" w:rsidR="006357D7" w:rsidRDefault="006357D7" w:rsidP="006357D7">
      <w:pPr>
        <w:pStyle w:val="ListParagraph"/>
        <w:rPr>
          <w:szCs w:val="20"/>
        </w:rPr>
      </w:pPr>
    </w:p>
    <w:p w14:paraId="3443383B" w14:textId="1CF44214" w:rsidR="006357D7" w:rsidRDefault="006357D7" w:rsidP="006357D7">
      <w:pPr>
        <w:pStyle w:val="ListParagraph"/>
        <w:numPr>
          <w:ilvl w:val="0"/>
          <w:numId w:val="1"/>
        </w:numPr>
        <w:rPr>
          <w:szCs w:val="20"/>
        </w:rPr>
      </w:pPr>
      <w:r>
        <w:rPr>
          <w:szCs w:val="20"/>
        </w:rPr>
        <w:t xml:space="preserve">Illustrating Health Reform: How Health Insurance Coverage Will Work by the Kaiser Family Foundation: </w:t>
      </w:r>
      <w:hyperlink r:id="rId39" w:history="1">
        <w:r w:rsidR="0074509C" w:rsidRPr="000A3532">
          <w:rPr>
            <w:rStyle w:val="Hyperlink"/>
            <w:szCs w:val="20"/>
          </w:rPr>
          <w:t>http://healthreform.kff.org/profiles.aspx</w:t>
        </w:r>
      </w:hyperlink>
    </w:p>
    <w:p w14:paraId="6197AC84" w14:textId="77777777" w:rsidR="0074509C" w:rsidRPr="0074509C" w:rsidRDefault="0074509C" w:rsidP="0074509C">
      <w:pPr>
        <w:rPr>
          <w:szCs w:val="20"/>
        </w:rPr>
      </w:pPr>
    </w:p>
    <w:p w14:paraId="6214E83D" w14:textId="5794186B" w:rsidR="006357D7" w:rsidRPr="0074509C" w:rsidRDefault="0074509C" w:rsidP="0074509C">
      <w:pPr>
        <w:pStyle w:val="ListParagraph"/>
        <w:numPr>
          <w:ilvl w:val="0"/>
          <w:numId w:val="1"/>
        </w:numPr>
        <w:rPr>
          <w:szCs w:val="20"/>
        </w:rPr>
      </w:pPr>
      <w:r>
        <w:rPr>
          <w:szCs w:val="20"/>
        </w:rPr>
        <w:t xml:space="preserve">A History of Overhauling Health Care by the </w:t>
      </w:r>
      <w:r>
        <w:rPr>
          <w:i/>
          <w:szCs w:val="20"/>
        </w:rPr>
        <w:t>New York Times</w:t>
      </w:r>
      <w:r>
        <w:rPr>
          <w:szCs w:val="20"/>
        </w:rPr>
        <w:t xml:space="preserve">: </w:t>
      </w:r>
      <w:hyperlink r:id="rId40" w:history="1">
        <w:r w:rsidRPr="000A3532">
          <w:rPr>
            <w:rStyle w:val="Hyperlink"/>
            <w:szCs w:val="20"/>
          </w:rPr>
          <w:t>http://www.nytimes.com/interactive/2009/07/19/us/politics/20090717_HEALTH_TIMELINE.html?_r=0</w:t>
        </w:r>
      </w:hyperlink>
    </w:p>
    <w:p w14:paraId="75B6B1CE" w14:textId="77777777" w:rsidR="006357D7" w:rsidRPr="006357D7" w:rsidRDefault="006357D7" w:rsidP="006357D7">
      <w:pPr>
        <w:pStyle w:val="ListParagraph"/>
        <w:rPr>
          <w:szCs w:val="20"/>
        </w:rPr>
      </w:pPr>
    </w:p>
    <w:p w14:paraId="7DA378E7" w14:textId="77777777" w:rsidR="00A156AB" w:rsidRDefault="00A156AB" w:rsidP="00A156AB">
      <w:pPr>
        <w:pStyle w:val="ListParagraph"/>
        <w:numPr>
          <w:ilvl w:val="0"/>
          <w:numId w:val="1"/>
        </w:numPr>
        <w:rPr>
          <w:szCs w:val="20"/>
        </w:rPr>
      </w:pPr>
      <w:r>
        <w:rPr>
          <w:szCs w:val="20"/>
        </w:rPr>
        <w:t xml:space="preserve">11 Facts about the Affordable Care Act Complied by the </w:t>
      </w:r>
      <w:r>
        <w:rPr>
          <w:i/>
          <w:szCs w:val="20"/>
        </w:rPr>
        <w:t>Washington Post</w:t>
      </w:r>
      <w:r>
        <w:rPr>
          <w:szCs w:val="20"/>
        </w:rPr>
        <w:t xml:space="preserve">: </w:t>
      </w:r>
      <w:hyperlink r:id="rId41" w:history="1">
        <w:r w:rsidRPr="000A3532">
          <w:rPr>
            <w:rStyle w:val="Hyperlink"/>
            <w:szCs w:val="20"/>
          </w:rPr>
          <w:t>http://www.washingtonpost.com/blogs/wonkblog/wp/2012/06/24/11-facts-about-the-affordable-care-act/</w:t>
        </w:r>
      </w:hyperlink>
    </w:p>
    <w:p w14:paraId="03622D96" w14:textId="77777777" w:rsidR="00A156AB" w:rsidRPr="00A156AB" w:rsidRDefault="00A156AB" w:rsidP="00A156AB">
      <w:pPr>
        <w:rPr>
          <w:szCs w:val="20"/>
        </w:rPr>
      </w:pPr>
    </w:p>
    <w:p w14:paraId="687B7AAD" w14:textId="77777777" w:rsidR="00726DC0" w:rsidRDefault="00726DC0" w:rsidP="00726DC0">
      <w:pPr>
        <w:pStyle w:val="ListParagraph"/>
        <w:numPr>
          <w:ilvl w:val="0"/>
          <w:numId w:val="1"/>
        </w:numPr>
        <w:rPr>
          <w:szCs w:val="20"/>
        </w:rPr>
      </w:pPr>
      <w:r>
        <w:rPr>
          <w:szCs w:val="20"/>
        </w:rPr>
        <w:t xml:space="preserve">Miscellaneous editorials and articles on the Affordable Care Act complied on the blog </w:t>
      </w:r>
      <w:r w:rsidRPr="00726DC0">
        <w:rPr>
          <w:i/>
          <w:szCs w:val="20"/>
        </w:rPr>
        <w:t>Politico</w:t>
      </w:r>
      <w:r>
        <w:rPr>
          <w:szCs w:val="20"/>
        </w:rPr>
        <w:t xml:space="preserve">: </w:t>
      </w:r>
      <w:hyperlink r:id="rId42" w:history="1">
        <w:r w:rsidRPr="000A3532">
          <w:rPr>
            <w:rStyle w:val="Hyperlink"/>
            <w:szCs w:val="20"/>
          </w:rPr>
          <w:t>http://dyn.politico.com/tag/affordable-care-act</w:t>
        </w:r>
      </w:hyperlink>
    </w:p>
    <w:p w14:paraId="641E3EF9" w14:textId="77777777" w:rsidR="00726DC0" w:rsidRDefault="00726DC0" w:rsidP="00111C4F">
      <w:pPr>
        <w:rPr>
          <w:szCs w:val="20"/>
        </w:rPr>
      </w:pPr>
    </w:p>
    <w:p w14:paraId="7762C785" w14:textId="77777777" w:rsidR="00111C4F" w:rsidRDefault="00111C4F" w:rsidP="00111C4F">
      <w:pPr>
        <w:rPr>
          <w:szCs w:val="20"/>
        </w:rPr>
      </w:pPr>
    </w:p>
    <w:p w14:paraId="238D3D31" w14:textId="77777777" w:rsidR="00111C4F" w:rsidRDefault="00111C4F" w:rsidP="00111C4F">
      <w:pPr>
        <w:rPr>
          <w:szCs w:val="20"/>
        </w:rPr>
      </w:pPr>
    </w:p>
    <w:p w14:paraId="7C714EA6" w14:textId="77777777" w:rsidR="00111C4F" w:rsidRDefault="00111C4F" w:rsidP="00111C4F">
      <w:pPr>
        <w:rPr>
          <w:szCs w:val="20"/>
        </w:rPr>
      </w:pPr>
    </w:p>
    <w:p w14:paraId="6C5E44B7" w14:textId="77777777" w:rsidR="00827AF5" w:rsidRDefault="00827AF5" w:rsidP="00111C4F">
      <w:pPr>
        <w:rPr>
          <w:szCs w:val="20"/>
        </w:rPr>
      </w:pPr>
    </w:p>
    <w:p w14:paraId="777F064E" w14:textId="77777777" w:rsidR="00827AF5" w:rsidRDefault="00827AF5" w:rsidP="00111C4F">
      <w:pPr>
        <w:rPr>
          <w:szCs w:val="20"/>
        </w:rPr>
      </w:pPr>
    </w:p>
    <w:p w14:paraId="21E32BF2" w14:textId="77777777" w:rsidR="00111C4F" w:rsidRDefault="00111C4F" w:rsidP="00111C4F">
      <w:pPr>
        <w:rPr>
          <w:szCs w:val="20"/>
        </w:rPr>
      </w:pPr>
    </w:p>
    <w:p w14:paraId="23199D49" w14:textId="2A4AB51C" w:rsidR="00DD1FA4" w:rsidRPr="00A57528" w:rsidRDefault="00DD1FA4" w:rsidP="00DD1FA4">
      <w:pPr>
        <w:rPr>
          <w:rFonts w:cs="Didot"/>
          <w:b/>
          <w:i/>
          <w:szCs w:val="20"/>
        </w:rPr>
      </w:pPr>
      <w:r>
        <w:rPr>
          <w:rFonts w:cs="Didot"/>
          <w:b/>
          <w:i/>
          <w:szCs w:val="20"/>
        </w:rPr>
        <w:t>The Shifting Size and Scope of the National Government</w:t>
      </w:r>
      <w:r w:rsidRPr="00A57528">
        <w:rPr>
          <w:rFonts w:cs="Didot"/>
          <w:b/>
          <w:i/>
          <w:szCs w:val="20"/>
        </w:rPr>
        <w:t xml:space="preserve"> Unit: Closing Summative Discussion</w:t>
      </w:r>
    </w:p>
    <w:p w14:paraId="28B3C01B" w14:textId="77777777" w:rsidR="00DD1FA4" w:rsidRPr="00A57528" w:rsidRDefault="00DD1FA4" w:rsidP="00DD1FA4">
      <w:pPr>
        <w:rPr>
          <w:rFonts w:cs="Didot"/>
          <w:i/>
          <w:szCs w:val="20"/>
        </w:rPr>
      </w:pPr>
      <w:r w:rsidRPr="00A57528">
        <w:rPr>
          <w:rFonts w:cs="Didot"/>
          <w:i/>
          <w:szCs w:val="20"/>
        </w:rPr>
        <w:t>Rubric</w:t>
      </w:r>
    </w:p>
    <w:p w14:paraId="12DD8355" w14:textId="77777777" w:rsidR="00DD1FA4" w:rsidRPr="00A57528" w:rsidRDefault="00DD1FA4" w:rsidP="00DD1FA4">
      <w:pPr>
        <w:rPr>
          <w:rFonts w:cs="Didot"/>
          <w:b/>
          <w:szCs w:val="20"/>
        </w:rPr>
      </w:pPr>
    </w:p>
    <w:p w14:paraId="57041E35" w14:textId="77777777" w:rsidR="00DD1FA4" w:rsidRPr="00A57528" w:rsidRDefault="00DD1FA4" w:rsidP="00DD1FA4">
      <w:pPr>
        <w:rPr>
          <w:rFonts w:cs="Didot"/>
          <w:szCs w:val="20"/>
        </w:rPr>
      </w:pPr>
      <w:r w:rsidRPr="00A57528">
        <w:rPr>
          <w:rFonts w:cs="Didot"/>
          <w:i/>
          <w:szCs w:val="20"/>
        </w:rPr>
        <w:t xml:space="preserve"> </w:t>
      </w:r>
    </w:p>
    <w:tbl>
      <w:tblPr>
        <w:tblStyle w:val="TableGrid"/>
        <w:tblW w:w="0" w:type="auto"/>
        <w:tblLook w:val="00A0" w:firstRow="1" w:lastRow="0" w:firstColumn="1" w:lastColumn="0" w:noHBand="0" w:noVBand="0"/>
      </w:tblPr>
      <w:tblGrid>
        <w:gridCol w:w="2628"/>
        <w:gridCol w:w="2076"/>
        <w:gridCol w:w="2076"/>
        <w:gridCol w:w="2076"/>
      </w:tblGrid>
      <w:tr w:rsidR="00DD1FA4" w:rsidRPr="00A57528" w14:paraId="6B319F3D" w14:textId="77777777" w:rsidTr="00DD1FA4">
        <w:tc>
          <w:tcPr>
            <w:tcW w:w="2628" w:type="dxa"/>
          </w:tcPr>
          <w:p w14:paraId="5407B849" w14:textId="77777777" w:rsidR="00DD1FA4" w:rsidRPr="00A57528" w:rsidRDefault="00DD1FA4" w:rsidP="00DD1FA4">
            <w:pPr>
              <w:rPr>
                <w:rFonts w:eastAsia="Cambria" w:cs="Didot"/>
                <w:szCs w:val="20"/>
              </w:rPr>
            </w:pPr>
          </w:p>
        </w:tc>
        <w:tc>
          <w:tcPr>
            <w:tcW w:w="2076" w:type="dxa"/>
          </w:tcPr>
          <w:p w14:paraId="4735AAFA" w14:textId="77777777" w:rsidR="00DD1FA4" w:rsidRPr="00A57528" w:rsidRDefault="00DD1FA4" w:rsidP="00DD1FA4">
            <w:pPr>
              <w:jc w:val="center"/>
              <w:rPr>
                <w:rFonts w:cs="Didot"/>
                <w:b/>
                <w:szCs w:val="20"/>
              </w:rPr>
            </w:pPr>
            <w:r w:rsidRPr="00A57528">
              <w:rPr>
                <w:rFonts w:cs="Didot"/>
                <w:b/>
                <w:szCs w:val="20"/>
              </w:rPr>
              <w:t xml:space="preserve">Exemplary </w:t>
            </w:r>
          </w:p>
        </w:tc>
        <w:tc>
          <w:tcPr>
            <w:tcW w:w="2076" w:type="dxa"/>
          </w:tcPr>
          <w:p w14:paraId="70ED0638" w14:textId="77777777" w:rsidR="00DD1FA4" w:rsidRPr="00A57528" w:rsidRDefault="00DD1FA4" w:rsidP="00DD1FA4">
            <w:pPr>
              <w:jc w:val="center"/>
              <w:rPr>
                <w:rFonts w:cs="Didot"/>
                <w:b/>
                <w:szCs w:val="20"/>
              </w:rPr>
            </w:pPr>
            <w:r w:rsidRPr="00A57528">
              <w:rPr>
                <w:rFonts w:cs="Didot"/>
                <w:b/>
                <w:szCs w:val="20"/>
              </w:rPr>
              <w:t xml:space="preserve">Proficient </w:t>
            </w:r>
          </w:p>
          <w:p w14:paraId="50148489" w14:textId="77777777" w:rsidR="00DD1FA4" w:rsidRPr="00A57528" w:rsidRDefault="00DD1FA4" w:rsidP="00DD1FA4">
            <w:pPr>
              <w:jc w:val="center"/>
              <w:rPr>
                <w:rFonts w:cs="Didot"/>
                <w:b/>
                <w:szCs w:val="20"/>
              </w:rPr>
            </w:pPr>
          </w:p>
        </w:tc>
        <w:tc>
          <w:tcPr>
            <w:tcW w:w="2076" w:type="dxa"/>
          </w:tcPr>
          <w:p w14:paraId="3E2D4EB7" w14:textId="77777777" w:rsidR="00DD1FA4" w:rsidRPr="00A57528" w:rsidRDefault="00DD1FA4" w:rsidP="00DD1FA4">
            <w:pPr>
              <w:jc w:val="center"/>
              <w:rPr>
                <w:rFonts w:eastAsia="Cambria" w:cs="Didot"/>
                <w:b/>
                <w:szCs w:val="20"/>
              </w:rPr>
            </w:pPr>
            <w:r w:rsidRPr="00A57528">
              <w:rPr>
                <w:rFonts w:cs="Didot"/>
                <w:b/>
                <w:szCs w:val="20"/>
              </w:rPr>
              <w:t xml:space="preserve">Needs Improvement </w:t>
            </w:r>
          </w:p>
        </w:tc>
      </w:tr>
      <w:tr w:rsidR="00DD1FA4" w:rsidRPr="00A57528" w14:paraId="7952CCA8" w14:textId="77777777" w:rsidTr="00DD1FA4">
        <w:tc>
          <w:tcPr>
            <w:tcW w:w="2628" w:type="dxa"/>
            <w:vAlign w:val="center"/>
          </w:tcPr>
          <w:p w14:paraId="69B6E26A" w14:textId="77777777" w:rsidR="00DD1FA4" w:rsidRPr="00A57528" w:rsidRDefault="00DD1FA4" w:rsidP="00DD1FA4">
            <w:pPr>
              <w:jc w:val="center"/>
              <w:rPr>
                <w:rFonts w:eastAsia="Cambria" w:cs="Didot"/>
                <w:b/>
                <w:i/>
                <w:szCs w:val="20"/>
              </w:rPr>
            </w:pPr>
            <w:r w:rsidRPr="00A57528">
              <w:rPr>
                <w:rFonts w:eastAsia="Cambria" w:cs="Didot"/>
                <w:b/>
                <w:i/>
                <w:szCs w:val="20"/>
              </w:rPr>
              <w:t>Listen</w:t>
            </w:r>
            <w:r w:rsidRPr="00A57528">
              <w:rPr>
                <w:rFonts w:cs="Didot"/>
                <w:b/>
                <w:i/>
                <w:szCs w:val="20"/>
              </w:rPr>
              <w:t>ing/Engagement</w:t>
            </w:r>
          </w:p>
        </w:tc>
        <w:tc>
          <w:tcPr>
            <w:tcW w:w="2076" w:type="dxa"/>
          </w:tcPr>
          <w:p w14:paraId="2818F512" w14:textId="77777777" w:rsidR="00DD1FA4" w:rsidRPr="00A57528" w:rsidRDefault="00DD1FA4" w:rsidP="00DD1FA4">
            <w:pPr>
              <w:rPr>
                <w:rFonts w:eastAsia="Cambria" w:cs="Didot"/>
                <w:szCs w:val="20"/>
              </w:rPr>
            </w:pPr>
          </w:p>
          <w:p w14:paraId="607E70FB" w14:textId="77777777" w:rsidR="00DD1FA4" w:rsidRPr="00A57528" w:rsidRDefault="00DD1FA4" w:rsidP="00DD1FA4">
            <w:pPr>
              <w:rPr>
                <w:rFonts w:eastAsia="Cambria" w:cs="Didot"/>
                <w:szCs w:val="20"/>
              </w:rPr>
            </w:pPr>
          </w:p>
          <w:p w14:paraId="6DC124EC" w14:textId="77777777" w:rsidR="00DD1FA4" w:rsidRPr="00A57528" w:rsidRDefault="00DD1FA4" w:rsidP="00DD1FA4">
            <w:pPr>
              <w:rPr>
                <w:rFonts w:eastAsia="Cambria" w:cs="Didot"/>
                <w:szCs w:val="20"/>
              </w:rPr>
            </w:pPr>
          </w:p>
          <w:p w14:paraId="25B26679" w14:textId="77777777" w:rsidR="00DD1FA4" w:rsidRPr="00A57528" w:rsidRDefault="00DD1FA4" w:rsidP="00DD1FA4">
            <w:pPr>
              <w:rPr>
                <w:rFonts w:eastAsia="Cambria" w:cs="Didot"/>
                <w:szCs w:val="20"/>
              </w:rPr>
            </w:pPr>
          </w:p>
          <w:p w14:paraId="481209CC" w14:textId="77777777" w:rsidR="00DD1FA4" w:rsidRPr="00A57528" w:rsidRDefault="00DD1FA4" w:rsidP="00DD1FA4">
            <w:pPr>
              <w:rPr>
                <w:rFonts w:eastAsia="Cambria" w:cs="Didot"/>
                <w:szCs w:val="20"/>
              </w:rPr>
            </w:pPr>
          </w:p>
        </w:tc>
        <w:tc>
          <w:tcPr>
            <w:tcW w:w="2076" w:type="dxa"/>
          </w:tcPr>
          <w:p w14:paraId="770EA8C7" w14:textId="77777777" w:rsidR="00DD1FA4" w:rsidRPr="00A57528" w:rsidRDefault="00DD1FA4" w:rsidP="00DD1FA4">
            <w:pPr>
              <w:rPr>
                <w:rFonts w:eastAsia="Cambria" w:cs="Didot"/>
                <w:szCs w:val="20"/>
              </w:rPr>
            </w:pPr>
          </w:p>
        </w:tc>
        <w:tc>
          <w:tcPr>
            <w:tcW w:w="2076" w:type="dxa"/>
          </w:tcPr>
          <w:p w14:paraId="086DDA0D" w14:textId="77777777" w:rsidR="00DD1FA4" w:rsidRPr="00A57528" w:rsidRDefault="00DD1FA4" w:rsidP="00DD1FA4">
            <w:pPr>
              <w:rPr>
                <w:rFonts w:eastAsia="Cambria" w:cs="Didot"/>
                <w:szCs w:val="20"/>
              </w:rPr>
            </w:pPr>
          </w:p>
        </w:tc>
      </w:tr>
      <w:tr w:rsidR="00DD1FA4" w:rsidRPr="00A57528" w14:paraId="53893CB9" w14:textId="77777777" w:rsidTr="00DD1FA4">
        <w:tc>
          <w:tcPr>
            <w:tcW w:w="2628" w:type="dxa"/>
            <w:vAlign w:val="center"/>
          </w:tcPr>
          <w:p w14:paraId="7882421D" w14:textId="77777777" w:rsidR="00DD1FA4" w:rsidRPr="00A57528" w:rsidRDefault="00DD1FA4" w:rsidP="00DD1FA4">
            <w:pPr>
              <w:jc w:val="center"/>
              <w:rPr>
                <w:rFonts w:eastAsia="Cambria" w:cs="Didot"/>
                <w:b/>
                <w:i/>
                <w:szCs w:val="20"/>
              </w:rPr>
            </w:pPr>
            <w:r w:rsidRPr="00A57528">
              <w:rPr>
                <w:rFonts w:eastAsia="Cambria" w:cs="Didot"/>
                <w:b/>
                <w:i/>
                <w:szCs w:val="20"/>
              </w:rPr>
              <w:t xml:space="preserve">Adding New </w:t>
            </w:r>
            <w:r w:rsidRPr="00A57528">
              <w:rPr>
                <w:rFonts w:cs="Didot"/>
                <w:b/>
                <w:i/>
                <w:szCs w:val="20"/>
              </w:rPr>
              <w:t>Information</w:t>
            </w:r>
          </w:p>
        </w:tc>
        <w:tc>
          <w:tcPr>
            <w:tcW w:w="2076" w:type="dxa"/>
          </w:tcPr>
          <w:p w14:paraId="382F40C1" w14:textId="77777777" w:rsidR="00DD1FA4" w:rsidRPr="00A57528" w:rsidRDefault="00DD1FA4" w:rsidP="00DD1FA4">
            <w:pPr>
              <w:rPr>
                <w:rFonts w:eastAsia="Cambria" w:cs="Didot"/>
                <w:szCs w:val="20"/>
              </w:rPr>
            </w:pPr>
          </w:p>
          <w:p w14:paraId="07D40D73" w14:textId="77777777" w:rsidR="00DD1FA4" w:rsidRPr="00A57528" w:rsidRDefault="00DD1FA4" w:rsidP="00DD1FA4">
            <w:pPr>
              <w:rPr>
                <w:rFonts w:eastAsia="Cambria" w:cs="Didot"/>
                <w:szCs w:val="20"/>
              </w:rPr>
            </w:pPr>
          </w:p>
          <w:p w14:paraId="6D14A661" w14:textId="77777777" w:rsidR="00DD1FA4" w:rsidRPr="00A57528" w:rsidRDefault="00DD1FA4" w:rsidP="00DD1FA4">
            <w:pPr>
              <w:rPr>
                <w:rFonts w:eastAsia="Cambria" w:cs="Didot"/>
                <w:szCs w:val="20"/>
              </w:rPr>
            </w:pPr>
          </w:p>
          <w:p w14:paraId="4C3FBA85" w14:textId="77777777" w:rsidR="00DD1FA4" w:rsidRPr="00A57528" w:rsidRDefault="00DD1FA4" w:rsidP="00DD1FA4">
            <w:pPr>
              <w:rPr>
                <w:rFonts w:eastAsia="Cambria" w:cs="Didot"/>
                <w:szCs w:val="20"/>
              </w:rPr>
            </w:pPr>
          </w:p>
          <w:p w14:paraId="43E34DB8" w14:textId="77777777" w:rsidR="00DD1FA4" w:rsidRPr="00A57528" w:rsidRDefault="00DD1FA4" w:rsidP="00DD1FA4">
            <w:pPr>
              <w:rPr>
                <w:rFonts w:eastAsia="Cambria" w:cs="Didot"/>
                <w:szCs w:val="20"/>
              </w:rPr>
            </w:pPr>
          </w:p>
        </w:tc>
        <w:tc>
          <w:tcPr>
            <w:tcW w:w="2076" w:type="dxa"/>
          </w:tcPr>
          <w:p w14:paraId="022957AD" w14:textId="77777777" w:rsidR="00DD1FA4" w:rsidRPr="00A57528" w:rsidRDefault="00DD1FA4" w:rsidP="00DD1FA4">
            <w:pPr>
              <w:rPr>
                <w:rFonts w:eastAsia="Cambria" w:cs="Didot"/>
                <w:szCs w:val="20"/>
              </w:rPr>
            </w:pPr>
          </w:p>
        </w:tc>
        <w:tc>
          <w:tcPr>
            <w:tcW w:w="2076" w:type="dxa"/>
          </w:tcPr>
          <w:p w14:paraId="0715346F" w14:textId="77777777" w:rsidR="00DD1FA4" w:rsidRPr="00A57528" w:rsidRDefault="00DD1FA4" w:rsidP="00DD1FA4">
            <w:pPr>
              <w:rPr>
                <w:rFonts w:eastAsia="Cambria" w:cs="Didot"/>
                <w:szCs w:val="20"/>
              </w:rPr>
            </w:pPr>
          </w:p>
        </w:tc>
      </w:tr>
      <w:tr w:rsidR="00DD1FA4" w:rsidRPr="00A57528" w14:paraId="79FBCC6F" w14:textId="77777777" w:rsidTr="00DD1FA4">
        <w:tc>
          <w:tcPr>
            <w:tcW w:w="2628" w:type="dxa"/>
            <w:vAlign w:val="center"/>
          </w:tcPr>
          <w:p w14:paraId="52EB7118" w14:textId="77777777" w:rsidR="00DD1FA4" w:rsidRPr="00A57528" w:rsidRDefault="00DD1FA4" w:rsidP="00DD1FA4">
            <w:pPr>
              <w:jc w:val="center"/>
              <w:rPr>
                <w:rFonts w:eastAsia="Cambria" w:cs="Didot"/>
                <w:b/>
                <w:i/>
                <w:szCs w:val="20"/>
              </w:rPr>
            </w:pPr>
            <w:r w:rsidRPr="00A57528">
              <w:rPr>
                <w:rFonts w:eastAsia="Cambria" w:cs="Didot"/>
                <w:b/>
                <w:i/>
                <w:szCs w:val="20"/>
              </w:rPr>
              <w:t xml:space="preserve">Using Specific, </w:t>
            </w:r>
            <w:r w:rsidRPr="00A57528">
              <w:rPr>
                <w:rFonts w:cs="Didot"/>
                <w:b/>
                <w:i/>
                <w:szCs w:val="20"/>
              </w:rPr>
              <w:t>Relevant, and Accurate Evidence</w:t>
            </w:r>
          </w:p>
        </w:tc>
        <w:tc>
          <w:tcPr>
            <w:tcW w:w="2076" w:type="dxa"/>
          </w:tcPr>
          <w:p w14:paraId="2D5E85DA" w14:textId="77777777" w:rsidR="00DD1FA4" w:rsidRPr="00A57528" w:rsidRDefault="00DD1FA4" w:rsidP="00DD1FA4">
            <w:pPr>
              <w:rPr>
                <w:rFonts w:eastAsia="Cambria" w:cs="Didot"/>
                <w:szCs w:val="20"/>
              </w:rPr>
            </w:pPr>
          </w:p>
          <w:p w14:paraId="1E41D7C3" w14:textId="77777777" w:rsidR="00DD1FA4" w:rsidRPr="00A57528" w:rsidRDefault="00DD1FA4" w:rsidP="00DD1FA4">
            <w:pPr>
              <w:rPr>
                <w:rFonts w:eastAsia="Cambria" w:cs="Didot"/>
                <w:szCs w:val="20"/>
              </w:rPr>
            </w:pPr>
          </w:p>
          <w:p w14:paraId="5EFF05F7" w14:textId="77777777" w:rsidR="00DD1FA4" w:rsidRPr="00A57528" w:rsidRDefault="00DD1FA4" w:rsidP="00DD1FA4">
            <w:pPr>
              <w:rPr>
                <w:rFonts w:eastAsia="Cambria" w:cs="Didot"/>
                <w:szCs w:val="20"/>
              </w:rPr>
            </w:pPr>
          </w:p>
          <w:p w14:paraId="7894C26C" w14:textId="77777777" w:rsidR="00DD1FA4" w:rsidRPr="00A57528" w:rsidRDefault="00DD1FA4" w:rsidP="00DD1FA4">
            <w:pPr>
              <w:rPr>
                <w:rFonts w:eastAsia="Cambria" w:cs="Didot"/>
                <w:szCs w:val="20"/>
              </w:rPr>
            </w:pPr>
          </w:p>
          <w:p w14:paraId="7DF3A670" w14:textId="77777777" w:rsidR="00DD1FA4" w:rsidRPr="00A57528" w:rsidRDefault="00DD1FA4" w:rsidP="00DD1FA4">
            <w:pPr>
              <w:rPr>
                <w:rFonts w:eastAsia="Cambria" w:cs="Didot"/>
                <w:szCs w:val="20"/>
              </w:rPr>
            </w:pPr>
          </w:p>
        </w:tc>
        <w:tc>
          <w:tcPr>
            <w:tcW w:w="2076" w:type="dxa"/>
          </w:tcPr>
          <w:p w14:paraId="0745049C" w14:textId="77777777" w:rsidR="00DD1FA4" w:rsidRPr="00A57528" w:rsidRDefault="00DD1FA4" w:rsidP="00DD1FA4">
            <w:pPr>
              <w:rPr>
                <w:rFonts w:eastAsia="Cambria" w:cs="Didot"/>
                <w:szCs w:val="20"/>
              </w:rPr>
            </w:pPr>
          </w:p>
        </w:tc>
        <w:tc>
          <w:tcPr>
            <w:tcW w:w="2076" w:type="dxa"/>
          </w:tcPr>
          <w:p w14:paraId="7DCE9A21" w14:textId="77777777" w:rsidR="00DD1FA4" w:rsidRPr="00A57528" w:rsidRDefault="00DD1FA4" w:rsidP="00DD1FA4">
            <w:pPr>
              <w:rPr>
                <w:rFonts w:eastAsia="Cambria" w:cs="Didot"/>
                <w:szCs w:val="20"/>
              </w:rPr>
            </w:pPr>
          </w:p>
        </w:tc>
      </w:tr>
      <w:tr w:rsidR="00DD1FA4" w:rsidRPr="00A57528" w14:paraId="58332B54" w14:textId="77777777" w:rsidTr="00DD1FA4">
        <w:tc>
          <w:tcPr>
            <w:tcW w:w="2628" w:type="dxa"/>
            <w:vAlign w:val="center"/>
          </w:tcPr>
          <w:p w14:paraId="4BDEC69E" w14:textId="77777777" w:rsidR="00DD1FA4" w:rsidRPr="00A57528" w:rsidRDefault="00DD1FA4" w:rsidP="00DD1FA4">
            <w:pPr>
              <w:jc w:val="center"/>
              <w:rPr>
                <w:rFonts w:eastAsia="Cambria" w:cs="Didot"/>
                <w:b/>
                <w:i/>
                <w:szCs w:val="20"/>
              </w:rPr>
            </w:pPr>
            <w:r w:rsidRPr="00A57528">
              <w:rPr>
                <w:rFonts w:eastAsia="Cambria" w:cs="Didot"/>
                <w:b/>
                <w:i/>
                <w:szCs w:val="20"/>
              </w:rPr>
              <w:t xml:space="preserve">Transitioning </w:t>
            </w:r>
            <w:r w:rsidRPr="00A57528">
              <w:rPr>
                <w:rFonts w:cs="Didot"/>
                <w:b/>
                <w:i/>
                <w:szCs w:val="20"/>
              </w:rPr>
              <w:t>Effectively</w:t>
            </w:r>
          </w:p>
        </w:tc>
        <w:tc>
          <w:tcPr>
            <w:tcW w:w="2076" w:type="dxa"/>
          </w:tcPr>
          <w:p w14:paraId="3C7684D3" w14:textId="77777777" w:rsidR="00DD1FA4" w:rsidRPr="00A57528" w:rsidRDefault="00DD1FA4" w:rsidP="00DD1FA4">
            <w:pPr>
              <w:rPr>
                <w:rFonts w:eastAsia="Cambria" w:cs="Didot"/>
                <w:szCs w:val="20"/>
              </w:rPr>
            </w:pPr>
          </w:p>
          <w:p w14:paraId="29D25BEF" w14:textId="77777777" w:rsidR="00DD1FA4" w:rsidRPr="00A57528" w:rsidRDefault="00DD1FA4" w:rsidP="00DD1FA4">
            <w:pPr>
              <w:rPr>
                <w:rFonts w:eastAsia="Cambria" w:cs="Didot"/>
                <w:szCs w:val="20"/>
              </w:rPr>
            </w:pPr>
          </w:p>
          <w:p w14:paraId="061DAC08" w14:textId="77777777" w:rsidR="00DD1FA4" w:rsidRPr="00A57528" w:rsidRDefault="00DD1FA4" w:rsidP="00DD1FA4">
            <w:pPr>
              <w:rPr>
                <w:rFonts w:eastAsia="Cambria" w:cs="Didot"/>
                <w:szCs w:val="20"/>
              </w:rPr>
            </w:pPr>
          </w:p>
          <w:p w14:paraId="3B5D57F8" w14:textId="77777777" w:rsidR="00DD1FA4" w:rsidRPr="00A57528" w:rsidRDefault="00DD1FA4" w:rsidP="00DD1FA4">
            <w:pPr>
              <w:rPr>
                <w:rFonts w:eastAsia="Cambria" w:cs="Didot"/>
                <w:szCs w:val="20"/>
              </w:rPr>
            </w:pPr>
          </w:p>
        </w:tc>
        <w:tc>
          <w:tcPr>
            <w:tcW w:w="2076" w:type="dxa"/>
          </w:tcPr>
          <w:p w14:paraId="07048D41" w14:textId="77777777" w:rsidR="00DD1FA4" w:rsidRPr="00A57528" w:rsidRDefault="00DD1FA4" w:rsidP="00DD1FA4">
            <w:pPr>
              <w:rPr>
                <w:rFonts w:eastAsia="Cambria" w:cs="Didot"/>
                <w:szCs w:val="20"/>
              </w:rPr>
            </w:pPr>
          </w:p>
        </w:tc>
        <w:tc>
          <w:tcPr>
            <w:tcW w:w="2076" w:type="dxa"/>
          </w:tcPr>
          <w:p w14:paraId="54ABA704" w14:textId="77777777" w:rsidR="00DD1FA4" w:rsidRPr="00A57528" w:rsidRDefault="00DD1FA4" w:rsidP="00DD1FA4">
            <w:pPr>
              <w:rPr>
                <w:rFonts w:eastAsia="Cambria" w:cs="Didot"/>
                <w:szCs w:val="20"/>
              </w:rPr>
            </w:pPr>
          </w:p>
        </w:tc>
      </w:tr>
      <w:tr w:rsidR="00DD1FA4" w:rsidRPr="00A57528" w14:paraId="33F74A91" w14:textId="77777777" w:rsidTr="00DD1FA4">
        <w:tc>
          <w:tcPr>
            <w:tcW w:w="2628" w:type="dxa"/>
            <w:vAlign w:val="center"/>
          </w:tcPr>
          <w:p w14:paraId="3E121E6A" w14:textId="77777777" w:rsidR="00DD1FA4" w:rsidRPr="00A57528" w:rsidRDefault="00DD1FA4" w:rsidP="00DD1FA4">
            <w:pPr>
              <w:jc w:val="center"/>
              <w:rPr>
                <w:rFonts w:eastAsia="Cambria" w:cs="Didot"/>
                <w:b/>
                <w:i/>
                <w:szCs w:val="20"/>
              </w:rPr>
            </w:pPr>
            <w:r w:rsidRPr="00A57528">
              <w:rPr>
                <w:rFonts w:eastAsia="Cambria" w:cs="Didot"/>
                <w:b/>
                <w:i/>
                <w:szCs w:val="20"/>
              </w:rPr>
              <w:t>Taking Risks</w:t>
            </w:r>
          </w:p>
        </w:tc>
        <w:tc>
          <w:tcPr>
            <w:tcW w:w="2076" w:type="dxa"/>
          </w:tcPr>
          <w:p w14:paraId="5825ADBC" w14:textId="77777777" w:rsidR="00DD1FA4" w:rsidRPr="00A57528" w:rsidRDefault="00DD1FA4" w:rsidP="00DD1FA4">
            <w:pPr>
              <w:rPr>
                <w:rFonts w:eastAsia="Cambria" w:cs="Didot"/>
                <w:szCs w:val="20"/>
              </w:rPr>
            </w:pPr>
          </w:p>
          <w:p w14:paraId="3886EE59" w14:textId="77777777" w:rsidR="00DD1FA4" w:rsidRPr="00A57528" w:rsidRDefault="00DD1FA4" w:rsidP="00DD1FA4">
            <w:pPr>
              <w:rPr>
                <w:rFonts w:eastAsia="Cambria" w:cs="Didot"/>
                <w:szCs w:val="20"/>
              </w:rPr>
            </w:pPr>
          </w:p>
          <w:p w14:paraId="2B729923" w14:textId="77777777" w:rsidR="00DD1FA4" w:rsidRPr="00A57528" w:rsidRDefault="00DD1FA4" w:rsidP="00DD1FA4">
            <w:pPr>
              <w:rPr>
                <w:rFonts w:eastAsia="Cambria" w:cs="Didot"/>
                <w:szCs w:val="20"/>
              </w:rPr>
            </w:pPr>
          </w:p>
          <w:p w14:paraId="66698E28" w14:textId="77777777" w:rsidR="00DD1FA4" w:rsidRPr="00A57528" w:rsidRDefault="00DD1FA4" w:rsidP="00DD1FA4">
            <w:pPr>
              <w:rPr>
                <w:rFonts w:eastAsia="Cambria" w:cs="Didot"/>
                <w:szCs w:val="20"/>
              </w:rPr>
            </w:pPr>
          </w:p>
        </w:tc>
        <w:tc>
          <w:tcPr>
            <w:tcW w:w="2076" w:type="dxa"/>
          </w:tcPr>
          <w:p w14:paraId="7A7F8871" w14:textId="77777777" w:rsidR="00DD1FA4" w:rsidRPr="00A57528" w:rsidRDefault="00DD1FA4" w:rsidP="00DD1FA4">
            <w:pPr>
              <w:rPr>
                <w:rFonts w:eastAsia="Cambria" w:cs="Didot"/>
                <w:szCs w:val="20"/>
              </w:rPr>
            </w:pPr>
          </w:p>
        </w:tc>
        <w:tc>
          <w:tcPr>
            <w:tcW w:w="2076" w:type="dxa"/>
          </w:tcPr>
          <w:p w14:paraId="09A2572F" w14:textId="77777777" w:rsidR="00DD1FA4" w:rsidRPr="00A57528" w:rsidRDefault="00DD1FA4" w:rsidP="00DD1FA4">
            <w:pPr>
              <w:rPr>
                <w:rFonts w:eastAsia="Cambria" w:cs="Didot"/>
                <w:szCs w:val="20"/>
              </w:rPr>
            </w:pPr>
          </w:p>
        </w:tc>
      </w:tr>
      <w:tr w:rsidR="00DD1FA4" w:rsidRPr="00A57528" w14:paraId="55CBBEAE" w14:textId="77777777" w:rsidTr="00DD1FA4">
        <w:trPr>
          <w:trHeight w:val="90"/>
        </w:trPr>
        <w:tc>
          <w:tcPr>
            <w:tcW w:w="2628" w:type="dxa"/>
            <w:vAlign w:val="center"/>
          </w:tcPr>
          <w:p w14:paraId="30F461C3" w14:textId="77777777" w:rsidR="00DD1FA4" w:rsidRPr="00A57528" w:rsidRDefault="00DD1FA4" w:rsidP="00DD1FA4">
            <w:pPr>
              <w:jc w:val="center"/>
              <w:rPr>
                <w:rFonts w:eastAsia="Cambria" w:cs="Didot"/>
                <w:b/>
                <w:i/>
                <w:szCs w:val="20"/>
              </w:rPr>
            </w:pPr>
            <w:r w:rsidRPr="00A57528">
              <w:rPr>
                <w:rFonts w:eastAsia="Cambria" w:cs="Didot"/>
                <w:b/>
                <w:i/>
                <w:szCs w:val="20"/>
              </w:rPr>
              <w:t>Answering the Question</w:t>
            </w:r>
          </w:p>
        </w:tc>
        <w:tc>
          <w:tcPr>
            <w:tcW w:w="2076" w:type="dxa"/>
          </w:tcPr>
          <w:p w14:paraId="2A573B73" w14:textId="77777777" w:rsidR="00DD1FA4" w:rsidRPr="00A57528" w:rsidRDefault="00DD1FA4" w:rsidP="00DD1FA4">
            <w:pPr>
              <w:rPr>
                <w:rFonts w:eastAsia="Cambria" w:cs="Didot"/>
                <w:szCs w:val="20"/>
              </w:rPr>
            </w:pPr>
          </w:p>
          <w:p w14:paraId="6F907ACC" w14:textId="77777777" w:rsidR="00DD1FA4" w:rsidRPr="00A57528" w:rsidRDefault="00DD1FA4" w:rsidP="00DD1FA4">
            <w:pPr>
              <w:rPr>
                <w:rFonts w:eastAsia="Cambria" w:cs="Didot"/>
                <w:szCs w:val="20"/>
              </w:rPr>
            </w:pPr>
          </w:p>
          <w:p w14:paraId="14C3E404" w14:textId="77777777" w:rsidR="00DD1FA4" w:rsidRPr="00A57528" w:rsidRDefault="00DD1FA4" w:rsidP="00DD1FA4">
            <w:pPr>
              <w:rPr>
                <w:rFonts w:eastAsia="Cambria" w:cs="Didot"/>
                <w:szCs w:val="20"/>
              </w:rPr>
            </w:pPr>
          </w:p>
          <w:p w14:paraId="3A0F2354" w14:textId="77777777" w:rsidR="00DD1FA4" w:rsidRPr="00A57528" w:rsidRDefault="00DD1FA4" w:rsidP="00DD1FA4">
            <w:pPr>
              <w:rPr>
                <w:rFonts w:eastAsia="Cambria" w:cs="Didot"/>
                <w:szCs w:val="20"/>
              </w:rPr>
            </w:pPr>
          </w:p>
          <w:p w14:paraId="71CB17FE" w14:textId="77777777" w:rsidR="00DD1FA4" w:rsidRPr="00A57528" w:rsidRDefault="00DD1FA4" w:rsidP="00DD1FA4">
            <w:pPr>
              <w:rPr>
                <w:rFonts w:eastAsia="Cambria" w:cs="Didot"/>
                <w:szCs w:val="20"/>
              </w:rPr>
            </w:pPr>
          </w:p>
        </w:tc>
        <w:tc>
          <w:tcPr>
            <w:tcW w:w="2076" w:type="dxa"/>
          </w:tcPr>
          <w:p w14:paraId="17645A3F" w14:textId="77777777" w:rsidR="00DD1FA4" w:rsidRPr="00A57528" w:rsidRDefault="00DD1FA4" w:rsidP="00DD1FA4">
            <w:pPr>
              <w:rPr>
                <w:rFonts w:eastAsia="Cambria" w:cs="Didot"/>
                <w:szCs w:val="20"/>
              </w:rPr>
            </w:pPr>
          </w:p>
        </w:tc>
        <w:tc>
          <w:tcPr>
            <w:tcW w:w="2076" w:type="dxa"/>
          </w:tcPr>
          <w:p w14:paraId="7FE6D6CF" w14:textId="77777777" w:rsidR="00DD1FA4" w:rsidRPr="00A57528" w:rsidRDefault="00DD1FA4" w:rsidP="00DD1FA4">
            <w:pPr>
              <w:rPr>
                <w:rFonts w:eastAsia="Cambria" w:cs="Didot"/>
                <w:szCs w:val="20"/>
              </w:rPr>
            </w:pPr>
          </w:p>
        </w:tc>
      </w:tr>
    </w:tbl>
    <w:p w14:paraId="045F003E" w14:textId="77777777" w:rsidR="00DD1FA4" w:rsidRPr="00A57528" w:rsidRDefault="00DD1FA4" w:rsidP="00DD1FA4">
      <w:pPr>
        <w:rPr>
          <w:rFonts w:cs="Didot"/>
          <w:szCs w:val="20"/>
        </w:rPr>
      </w:pPr>
    </w:p>
    <w:p w14:paraId="4B98F4A2" w14:textId="77777777" w:rsidR="00111C4F" w:rsidRDefault="00111C4F" w:rsidP="00111C4F">
      <w:pPr>
        <w:rPr>
          <w:szCs w:val="20"/>
        </w:rPr>
      </w:pPr>
    </w:p>
    <w:p w14:paraId="45EDC7D6" w14:textId="77777777" w:rsidR="00111C4F" w:rsidRDefault="00111C4F" w:rsidP="00111C4F">
      <w:pPr>
        <w:rPr>
          <w:szCs w:val="20"/>
        </w:rPr>
      </w:pPr>
    </w:p>
    <w:p w14:paraId="4E18468A" w14:textId="77777777" w:rsidR="00111C4F" w:rsidRDefault="00111C4F" w:rsidP="00111C4F">
      <w:pPr>
        <w:rPr>
          <w:szCs w:val="20"/>
        </w:rPr>
      </w:pPr>
    </w:p>
    <w:p w14:paraId="14570842" w14:textId="77777777" w:rsidR="00111C4F" w:rsidRDefault="00111C4F" w:rsidP="00111C4F">
      <w:pPr>
        <w:rPr>
          <w:szCs w:val="20"/>
        </w:rPr>
      </w:pPr>
    </w:p>
    <w:p w14:paraId="69E48392" w14:textId="77777777" w:rsidR="00111C4F" w:rsidRDefault="00111C4F" w:rsidP="00111C4F">
      <w:pPr>
        <w:rPr>
          <w:szCs w:val="20"/>
        </w:rPr>
      </w:pPr>
    </w:p>
    <w:p w14:paraId="7E986FB2" w14:textId="77777777" w:rsidR="00111C4F" w:rsidRDefault="00111C4F" w:rsidP="00111C4F">
      <w:pPr>
        <w:rPr>
          <w:szCs w:val="20"/>
        </w:rPr>
      </w:pPr>
    </w:p>
    <w:sectPr w:rsidR="00111C4F" w:rsidSect="00DD1FA4">
      <w:pgSz w:w="12240" w:h="15840"/>
      <w:pgMar w:top="1296" w:right="1296" w:bottom="1296"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Didot">
    <w:panose1 w:val="02000503000000020003"/>
    <w:charset w:val="00"/>
    <w:family w:val="auto"/>
    <w:pitch w:val="variable"/>
    <w:sig w:usb0="80000067" w:usb1="00000000" w:usb2="00000000" w:usb3="00000000" w:csb0="000001FB"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7746B3"/>
    <w:multiLevelType w:val="hybridMultilevel"/>
    <w:tmpl w:val="25464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BB38E2"/>
    <w:multiLevelType w:val="hybridMultilevel"/>
    <w:tmpl w:val="FDBCA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DF0912"/>
    <w:multiLevelType w:val="hybridMultilevel"/>
    <w:tmpl w:val="CD1E8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FD3"/>
    <w:rsid w:val="000835CE"/>
    <w:rsid w:val="00111C4F"/>
    <w:rsid w:val="001C5DBD"/>
    <w:rsid w:val="00253E35"/>
    <w:rsid w:val="002C122E"/>
    <w:rsid w:val="006357D7"/>
    <w:rsid w:val="00726DC0"/>
    <w:rsid w:val="0074509C"/>
    <w:rsid w:val="00827AF5"/>
    <w:rsid w:val="00A156AB"/>
    <w:rsid w:val="00C97F0E"/>
    <w:rsid w:val="00DD1FA4"/>
    <w:rsid w:val="00DD6260"/>
    <w:rsid w:val="00EA3F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D3794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Didot" w:hAnsi="Didot"/>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6DC0"/>
    <w:rPr>
      <w:color w:val="0000FF" w:themeColor="hyperlink"/>
      <w:u w:val="single"/>
    </w:rPr>
  </w:style>
  <w:style w:type="paragraph" w:styleId="ListParagraph">
    <w:name w:val="List Paragraph"/>
    <w:basedOn w:val="Normal"/>
    <w:uiPriority w:val="34"/>
    <w:qFormat/>
    <w:rsid w:val="00726DC0"/>
    <w:pPr>
      <w:ind w:left="720"/>
      <w:contextualSpacing/>
    </w:pPr>
  </w:style>
  <w:style w:type="paragraph" w:styleId="BalloonText">
    <w:name w:val="Balloon Text"/>
    <w:basedOn w:val="Normal"/>
    <w:link w:val="BalloonTextChar"/>
    <w:uiPriority w:val="99"/>
    <w:semiHidden/>
    <w:unhideWhenUsed/>
    <w:rsid w:val="00111C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1C4F"/>
    <w:rPr>
      <w:rFonts w:ascii="Lucida Grande" w:hAnsi="Lucida Grande" w:cs="Lucida Grande"/>
      <w:sz w:val="18"/>
      <w:szCs w:val="18"/>
      <w:lang w:eastAsia="en-US"/>
    </w:rPr>
  </w:style>
  <w:style w:type="table" w:styleId="TableGrid">
    <w:name w:val="Table Grid"/>
    <w:basedOn w:val="TableNormal"/>
    <w:uiPriority w:val="99"/>
    <w:rsid w:val="00DD1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C122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Didot" w:hAnsi="Didot"/>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6DC0"/>
    <w:rPr>
      <w:color w:val="0000FF" w:themeColor="hyperlink"/>
      <w:u w:val="single"/>
    </w:rPr>
  </w:style>
  <w:style w:type="paragraph" w:styleId="ListParagraph">
    <w:name w:val="List Paragraph"/>
    <w:basedOn w:val="Normal"/>
    <w:uiPriority w:val="34"/>
    <w:qFormat/>
    <w:rsid w:val="00726DC0"/>
    <w:pPr>
      <w:ind w:left="720"/>
      <w:contextualSpacing/>
    </w:pPr>
  </w:style>
  <w:style w:type="paragraph" w:styleId="BalloonText">
    <w:name w:val="Balloon Text"/>
    <w:basedOn w:val="Normal"/>
    <w:link w:val="BalloonTextChar"/>
    <w:uiPriority w:val="99"/>
    <w:semiHidden/>
    <w:unhideWhenUsed/>
    <w:rsid w:val="00111C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1C4F"/>
    <w:rPr>
      <w:rFonts w:ascii="Lucida Grande" w:hAnsi="Lucida Grande" w:cs="Lucida Grande"/>
      <w:sz w:val="18"/>
      <w:szCs w:val="18"/>
      <w:lang w:eastAsia="en-US"/>
    </w:rPr>
  </w:style>
  <w:style w:type="table" w:styleId="TableGrid">
    <w:name w:val="Table Grid"/>
    <w:basedOn w:val="TableNormal"/>
    <w:uiPriority w:val="99"/>
    <w:rsid w:val="00DD1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C12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en.wikipedia.org/wiki/Federal_poverty_level" TargetMode="External"/><Relationship Id="rId21" Type="http://schemas.openxmlformats.org/officeDocument/2006/relationships/hyperlink" Target="http://en.wikipedia.org/wiki/State_Children%27s_Health_Insurance_Program" TargetMode="External"/><Relationship Id="rId22" Type="http://schemas.openxmlformats.org/officeDocument/2006/relationships/hyperlink" Target="http://en.wikipedia.org/wiki/National_Federation_of_Independent_Business_v._Sebelius" TargetMode="External"/><Relationship Id="rId23" Type="http://schemas.openxmlformats.org/officeDocument/2006/relationships/hyperlink" Target="http://en.wikipedia.org/wiki/Copayment" TargetMode="External"/><Relationship Id="rId24" Type="http://schemas.openxmlformats.org/officeDocument/2006/relationships/hyperlink" Target="http://en.wikipedia.org/wiki/Co-insurance" TargetMode="External"/><Relationship Id="rId25" Type="http://schemas.openxmlformats.org/officeDocument/2006/relationships/hyperlink" Target="http://en.wikipedia.org/wiki/Deductible" TargetMode="External"/><Relationship Id="rId26" Type="http://schemas.openxmlformats.org/officeDocument/2006/relationships/hyperlink" Target="http://en.wikipedia.org/wiki/Preventive_care" TargetMode="External"/><Relationship Id="rId27" Type="http://schemas.openxmlformats.org/officeDocument/2006/relationships/hyperlink" Target="http://en.wikipedia.org/wiki/Bundled_payment" TargetMode="External"/><Relationship Id="rId28" Type="http://schemas.openxmlformats.org/officeDocument/2006/relationships/hyperlink" Target="http://en.wikipedia.org/wiki/Taxation_in_the_United_States" TargetMode="External"/><Relationship Id="rId29" Type="http://schemas.openxmlformats.org/officeDocument/2006/relationships/hyperlink" Target="http://en.wikipedia.org/wiki/Excise_tax"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en.wikipedia.org/wiki/Cadillac_insurance_plan" TargetMode="External"/><Relationship Id="rId31" Type="http://schemas.openxmlformats.org/officeDocument/2006/relationships/hyperlink" Target="http://en.wikipedia.org/wiki/Sales_tax" TargetMode="External"/><Relationship Id="rId32" Type="http://schemas.openxmlformats.org/officeDocument/2006/relationships/hyperlink" Target="http://en.wikipedia.org/wiki/Tanning_bed" TargetMode="External"/><Relationship Id="rId9" Type="http://schemas.openxmlformats.org/officeDocument/2006/relationships/hyperlink" Target="http://en.wikipedia.org/wiki/Pre-existing_condition" TargetMode="External"/><Relationship Id="rId6" Type="http://schemas.openxmlformats.org/officeDocument/2006/relationships/hyperlink" Target="http://en.wikipedia.org/wiki/Grandfather_clause" TargetMode="External"/><Relationship Id="rId7" Type="http://schemas.openxmlformats.org/officeDocument/2006/relationships/hyperlink" Target="http://en.wikipedia.org/wiki/Guaranteed_issue" TargetMode="External"/><Relationship Id="rId8" Type="http://schemas.openxmlformats.org/officeDocument/2006/relationships/hyperlink" Target="http://en.wikipedia.org/wiki/Community_rating" TargetMode="External"/><Relationship Id="rId33" Type="http://schemas.openxmlformats.org/officeDocument/2006/relationships/hyperlink" Target="http://en.wikipedia.org/wiki/Medicare_Advantage" TargetMode="External"/><Relationship Id="rId34" Type="http://schemas.openxmlformats.org/officeDocument/2006/relationships/hyperlink" Target="http://en.wikipedia.org/wiki/Adjusted_Gross_Income" TargetMode="External"/><Relationship Id="rId35" Type="http://schemas.openxmlformats.org/officeDocument/2006/relationships/hyperlink" Target="http://en.wikipedia.org/wiki/Itemized_deduction" TargetMode="External"/><Relationship Id="rId36" Type="http://schemas.openxmlformats.org/officeDocument/2006/relationships/hyperlink" Target="http://en.wikipedia.org/wiki/Flexible_spending_account" TargetMode="External"/><Relationship Id="rId10" Type="http://schemas.openxmlformats.org/officeDocument/2006/relationships/hyperlink" Target="http://en.wikipedia.org/wiki/Tobacco" TargetMode="External"/><Relationship Id="rId11" Type="http://schemas.openxmlformats.org/officeDocument/2006/relationships/hyperlink" Target="http://en.wikipedia.org/wiki/Health_insurance_mandate" TargetMode="External"/><Relationship Id="rId12" Type="http://schemas.openxmlformats.org/officeDocument/2006/relationships/hyperlink" Target="http://en.wikipedia.org/wiki/Employer-sponsored_health_insurance" TargetMode="External"/><Relationship Id="rId13" Type="http://schemas.openxmlformats.org/officeDocument/2006/relationships/hyperlink" Target="http://en.wikipedia.org/wiki/Medicaid" TargetMode="External"/><Relationship Id="rId14" Type="http://schemas.openxmlformats.org/officeDocument/2006/relationships/hyperlink" Target="http://en.wikipedia.org/wiki/Medicare_(United_States)" TargetMode="External"/><Relationship Id="rId15" Type="http://schemas.openxmlformats.org/officeDocument/2006/relationships/hyperlink" Target="http://en.wikipedia.org/wiki/Internal_Revenue_Service" TargetMode="External"/><Relationship Id="rId16" Type="http://schemas.openxmlformats.org/officeDocument/2006/relationships/hyperlink" Target="http://en.wikipedia.org/wiki/Health_insurance_exchange" TargetMode="External"/><Relationship Id="rId17" Type="http://schemas.openxmlformats.org/officeDocument/2006/relationships/hyperlink" Target="http://en.wikipedia.org/wiki/Federal_poverty_level" TargetMode="External"/><Relationship Id="rId18" Type="http://schemas.openxmlformats.org/officeDocument/2006/relationships/hyperlink" Target="http://en.wikipedia.org/wiki/Subsidy" TargetMode="External"/><Relationship Id="rId19" Type="http://schemas.openxmlformats.org/officeDocument/2006/relationships/hyperlink" Target="http://en.wikipedia.org/wiki/Sliding_scale" TargetMode="External"/><Relationship Id="rId37" Type="http://schemas.openxmlformats.org/officeDocument/2006/relationships/hyperlink" Target="http://en.wikipedia.org/wiki/Cafeteria_plan" TargetMode="External"/><Relationship Id="rId38" Type="http://schemas.openxmlformats.org/officeDocument/2006/relationships/hyperlink" Target="http://www.whitehouse.gov/blog/2012/06/28/supreme-court-upholds-president-obamas-health-care-reform" TargetMode="External"/><Relationship Id="rId39" Type="http://schemas.openxmlformats.org/officeDocument/2006/relationships/hyperlink" Target="http://healthreform.kff.org/profiles.aspx" TargetMode="External"/><Relationship Id="rId40" Type="http://schemas.openxmlformats.org/officeDocument/2006/relationships/hyperlink" Target="http://www.nytimes.com/interactive/2009/07/19/us/politics/20090717_HEALTH_TIMELINE.html?_r=0" TargetMode="External"/><Relationship Id="rId41" Type="http://schemas.openxmlformats.org/officeDocument/2006/relationships/hyperlink" Target="http://www.washingtonpost.com/blogs/wonkblog/wp/2012/06/24/11-facts-about-the-affordable-care-act/" TargetMode="External"/><Relationship Id="rId42" Type="http://schemas.openxmlformats.org/officeDocument/2006/relationships/hyperlink" Target="http://dyn.politico.com/tag/affordable-care-act" TargetMode="Externa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1690</Words>
  <Characters>9633</Characters>
  <Application>Microsoft Macintosh Word</Application>
  <DocSecurity>0</DocSecurity>
  <Lines>80</Lines>
  <Paragraphs>22</Paragraphs>
  <ScaleCrop>false</ScaleCrop>
  <Company/>
  <LinksUpToDate>false</LinksUpToDate>
  <CharactersWithSpaces>11301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Department</dc:creator>
  <cp:keywords/>
  <dc:description/>
  <cp:lastModifiedBy>WPS</cp:lastModifiedBy>
  <cp:revision>5</cp:revision>
  <cp:lastPrinted>2014-03-25T12:53:00Z</cp:lastPrinted>
  <dcterms:created xsi:type="dcterms:W3CDTF">2014-03-25T12:44:00Z</dcterms:created>
  <dcterms:modified xsi:type="dcterms:W3CDTF">2014-03-25T12:55:00Z</dcterms:modified>
</cp:coreProperties>
</file>